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6E7B" w14:textId="46002844" w:rsidR="004716B2" w:rsidRPr="00ED16CA" w:rsidRDefault="00F43254" w:rsidP="00F43254">
      <w:pPr>
        <w:jc w:val="center"/>
        <w:rPr>
          <w:rFonts w:cstheme="minorHAnsi"/>
          <w:b/>
          <w:bCs/>
          <w:sz w:val="24"/>
          <w:szCs w:val="24"/>
          <w:lang w:val="bs-Latn-BA"/>
        </w:rPr>
      </w:pPr>
      <w:r w:rsidRPr="00ED16CA">
        <w:rPr>
          <w:rFonts w:cstheme="minorHAnsi"/>
          <w:b/>
          <w:bCs/>
          <w:sz w:val="24"/>
          <w:szCs w:val="24"/>
          <w:lang w:val="bs-Latn-BA"/>
        </w:rPr>
        <w:t xml:space="preserve">Rezultati </w:t>
      </w:r>
      <w:r w:rsidR="004716B2" w:rsidRPr="00ED16CA">
        <w:rPr>
          <w:rFonts w:cstheme="minorHAnsi"/>
          <w:b/>
          <w:bCs/>
          <w:sz w:val="24"/>
          <w:szCs w:val="24"/>
          <w:lang w:val="bs-Latn-BA"/>
        </w:rPr>
        <w:t>administrativne provjere (</w:t>
      </w:r>
      <w:r w:rsidRPr="00ED16CA">
        <w:rPr>
          <w:rFonts w:cstheme="minorHAnsi"/>
          <w:b/>
          <w:bCs/>
          <w:sz w:val="24"/>
          <w:szCs w:val="24"/>
          <w:lang w:val="bs-Latn-BA"/>
        </w:rPr>
        <w:t>selekcije</w:t>
      </w:r>
      <w:r w:rsidR="004716B2" w:rsidRPr="00ED16CA">
        <w:rPr>
          <w:rFonts w:cstheme="minorHAnsi"/>
          <w:b/>
          <w:bCs/>
          <w:sz w:val="24"/>
          <w:szCs w:val="24"/>
          <w:lang w:val="bs-Latn-BA"/>
        </w:rPr>
        <w:t>)</w:t>
      </w:r>
      <w:r w:rsidRPr="00ED16CA">
        <w:rPr>
          <w:rFonts w:cstheme="minorHAnsi"/>
          <w:b/>
          <w:bCs/>
          <w:sz w:val="24"/>
          <w:szCs w:val="24"/>
          <w:lang w:val="bs-Latn-BA"/>
        </w:rPr>
        <w:t xml:space="preserve"> prijava</w:t>
      </w:r>
      <w:r w:rsidR="004716B2" w:rsidRPr="00ED16CA">
        <w:rPr>
          <w:rFonts w:cstheme="minorHAnsi"/>
          <w:b/>
          <w:bCs/>
          <w:sz w:val="24"/>
          <w:szCs w:val="24"/>
          <w:lang w:val="bs-Latn-BA"/>
        </w:rPr>
        <w:t xml:space="preserve"> </w:t>
      </w:r>
      <w:r w:rsidR="0014024B" w:rsidRPr="00ED16CA">
        <w:rPr>
          <w:rFonts w:cstheme="minorHAnsi"/>
          <w:b/>
          <w:bCs/>
          <w:sz w:val="24"/>
          <w:szCs w:val="24"/>
          <w:lang w:val="bs-Latn-BA"/>
        </w:rPr>
        <w:t xml:space="preserve">zaprimljenih </w:t>
      </w:r>
      <w:r w:rsidR="008934FF" w:rsidRPr="00ED16CA">
        <w:rPr>
          <w:rFonts w:cstheme="minorHAnsi"/>
          <w:b/>
          <w:bCs/>
          <w:sz w:val="24"/>
          <w:szCs w:val="24"/>
          <w:lang w:val="bs-Latn-BA"/>
        </w:rPr>
        <w:t xml:space="preserve">zaključno </w:t>
      </w:r>
      <w:r w:rsidR="0014024B" w:rsidRPr="00ED16CA">
        <w:rPr>
          <w:rFonts w:cstheme="minorHAnsi"/>
          <w:b/>
          <w:bCs/>
          <w:sz w:val="24"/>
          <w:szCs w:val="24"/>
          <w:lang w:val="bs-Latn-BA"/>
        </w:rPr>
        <w:t xml:space="preserve">sa danom </w:t>
      </w:r>
      <w:r w:rsidR="00507512" w:rsidRPr="00ED16CA">
        <w:rPr>
          <w:rFonts w:cstheme="minorHAnsi"/>
          <w:b/>
          <w:bCs/>
          <w:sz w:val="24"/>
          <w:szCs w:val="24"/>
          <w:lang w:val="bs-Latn-BA"/>
        </w:rPr>
        <w:t>2</w:t>
      </w:r>
      <w:r w:rsidR="00E3279E" w:rsidRPr="00ED16CA">
        <w:rPr>
          <w:rFonts w:cstheme="minorHAnsi"/>
          <w:b/>
          <w:bCs/>
          <w:sz w:val="24"/>
          <w:szCs w:val="24"/>
          <w:lang w:val="bs-Latn-BA"/>
        </w:rPr>
        <w:t>6</w:t>
      </w:r>
      <w:r w:rsidR="00507512" w:rsidRPr="00ED16CA">
        <w:rPr>
          <w:rFonts w:cstheme="minorHAnsi"/>
          <w:b/>
          <w:bCs/>
          <w:sz w:val="24"/>
          <w:szCs w:val="24"/>
          <w:lang w:val="bs-Latn-BA"/>
        </w:rPr>
        <w:t>. 11</w:t>
      </w:r>
      <w:r w:rsidR="008934FF" w:rsidRPr="00ED16CA">
        <w:rPr>
          <w:rFonts w:cstheme="minorHAnsi"/>
          <w:b/>
          <w:bCs/>
          <w:sz w:val="24"/>
          <w:szCs w:val="24"/>
          <w:lang w:val="bs-Latn-BA"/>
        </w:rPr>
        <w:t xml:space="preserve">. 2025. godine </w:t>
      </w:r>
      <w:r w:rsidR="004716B2" w:rsidRPr="00ED16CA">
        <w:rPr>
          <w:rFonts w:cstheme="minorHAnsi"/>
          <w:b/>
          <w:bCs/>
          <w:sz w:val="24"/>
          <w:szCs w:val="24"/>
          <w:lang w:val="bs-Latn-BA"/>
        </w:rPr>
        <w:t xml:space="preserve">na </w:t>
      </w:r>
    </w:p>
    <w:p w14:paraId="51433232" w14:textId="5082EAE6" w:rsidR="00B42D01" w:rsidRPr="00ED16CA" w:rsidRDefault="00A14A68" w:rsidP="00B42D01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ED16CA">
        <w:rPr>
          <w:rFonts w:cstheme="minorHAnsi"/>
          <w:b/>
          <w:sz w:val="24"/>
          <w:szCs w:val="24"/>
        </w:rPr>
        <w:t>Stalni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javni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poziv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za </w:t>
      </w:r>
      <w:proofErr w:type="spellStart"/>
      <w:r w:rsidRPr="00ED16CA">
        <w:rPr>
          <w:rFonts w:cstheme="minorHAnsi"/>
          <w:b/>
          <w:sz w:val="24"/>
          <w:szCs w:val="24"/>
        </w:rPr>
        <w:t>podršku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takmičenjima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i </w:t>
      </w:r>
      <w:proofErr w:type="spellStart"/>
      <w:r w:rsidRPr="00ED16CA">
        <w:rPr>
          <w:rFonts w:cstheme="minorHAnsi"/>
          <w:b/>
          <w:sz w:val="24"/>
          <w:szCs w:val="24"/>
        </w:rPr>
        <w:t>takm</w:t>
      </w:r>
      <w:bookmarkStart w:id="0" w:name="_GoBack"/>
      <w:bookmarkEnd w:id="0"/>
      <w:r w:rsidRPr="00ED16CA">
        <w:rPr>
          <w:rFonts w:cstheme="minorHAnsi"/>
          <w:b/>
          <w:sz w:val="24"/>
          <w:szCs w:val="24"/>
        </w:rPr>
        <w:t>ičarskim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manifestacijama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u </w:t>
      </w:r>
      <w:proofErr w:type="spellStart"/>
      <w:r w:rsidRPr="00ED16CA">
        <w:rPr>
          <w:rFonts w:cstheme="minorHAnsi"/>
          <w:b/>
          <w:sz w:val="24"/>
          <w:szCs w:val="24"/>
        </w:rPr>
        <w:t>oblasti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odgoja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i obrazovanja </w:t>
      </w:r>
      <w:proofErr w:type="spellStart"/>
      <w:r w:rsidRPr="00ED16CA">
        <w:rPr>
          <w:rFonts w:cstheme="minorHAnsi"/>
          <w:b/>
          <w:sz w:val="24"/>
          <w:szCs w:val="24"/>
        </w:rPr>
        <w:t>iz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Budžeta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FBiH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r w:rsidR="00B42D01" w:rsidRPr="00ED16CA">
        <w:rPr>
          <w:rFonts w:cstheme="minorHAnsi"/>
          <w:b/>
          <w:sz w:val="24"/>
          <w:szCs w:val="24"/>
        </w:rPr>
        <w:t xml:space="preserve">u 2025. </w:t>
      </w:r>
      <w:proofErr w:type="spellStart"/>
      <w:r w:rsidR="00655536" w:rsidRPr="00ED16CA">
        <w:rPr>
          <w:rFonts w:cstheme="minorHAnsi"/>
          <w:b/>
          <w:sz w:val="24"/>
          <w:szCs w:val="24"/>
        </w:rPr>
        <w:t>g</w:t>
      </w:r>
      <w:r w:rsidR="00B42D01" w:rsidRPr="00ED16CA">
        <w:rPr>
          <w:rFonts w:cstheme="minorHAnsi"/>
          <w:b/>
          <w:sz w:val="24"/>
          <w:szCs w:val="24"/>
        </w:rPr>
        <w:t>odini</w:t>
      </w:r>
      <w:proofErr w:type="spellEnd"/>
      <w:r w:rsidR="00655536" w:rsidRPr="00ED16CA">
        <w:rPr>
          <w:rFonts w:cstheme="minorHAnsi"/>
          <w:b/>
          <w:sz w:val="24"/>
          <w:szCs w:val="24"/>
        </w:rPr>
        <w:t xml:space="preserve"> - </w:t>
      </w:r>
      <w:proofErr w:type="spellStart"/>
      <w:r w:rsidR="00655536" w:rsidRPr="00ED16CA">
        <w:rPr>
          <w:rFonts w:cstheme="minorHAnsi"/>
          <w:b/>
          <w:sz w:val="24"/>
          <w:szCs w:val="24"/>
        </w:rPr>
        <w:t>drugi</w:t>
      </w:r>
      <w:proofErr w:type="spellEnd"/>
      <w:r w:rsidR="00E3279E"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="00E3279E" w:rsidRPr="00ED16CA">
        <w:rPr>
          <w:rFonts w:cstheme="minorHAnsi"/>
          <w:b/>
          <w:sz w:val="24"/>
          <w:szCs w:val="24"/>
        </w:rPr>
        <w:t>cikl</w:t>
      </w:r>
      <w:r w:rsidR="00655536" w:rsidRPr="00ED16CA">
        <w:rPr>
          <w:rFonts w:cstheme="minorHAnsi"/>
          <w:b/>
          <w:sz w:val="24"/>
          <w:szCs w:val="24"/>
        </w:rPr>
        <w:t>us</w:t>
      </w:r>
      <w:proofErr w:type="spellEnd"/>
      <w:r w:rsidR="00655536"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="00655536" w:rsidRPr="00ED16CA">
        <w:rPr>
          <w:rFonts w:cstheme="minorHAnsi"/>
          <w:b/>
          <w:sz w:val="24"/>
          <w:szCs w:val="24"/>
        </w:rPr>
        <w:t>prijavljivanja</w:t>
      </w:r>
      <w:proofErr w:type="spellEnd"/>
    </w:p>
    <w:p w14:paraId="1FADE652" w14:textId="19E9824E" w:rsidR="00B42D01" w:rsidRPr="00ED16CA" w:rsidRDefault="00B42D01" w:rsidP="003E27F7">
      <w:pPr>
        <w:jc w:val="both"/>
        <w:rPr>
          <w:rFonts w:cstheme="minorHAnsi"/>
          <w:b/>
          <w:sz w:val="24"/>
          <w:szCs w:val="24"/>
        </w:rPr>
      </w:pPr>
    </w:p>
    <w:p w14:paraId="5EDE76C8" w14:textId="4FFA0041" w:rsidR="00807B1E" w:rsidRPr="00ED16CA" w:rsidRDefault="00807B1E" w:rsidP="00807B1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D16CA">
        <w:rPr>
          <w:rFonts w:cstheme="minorHAnsi"/>
          <w:sz w:val="24"/>
          <w:szCs w:val="24"/>
        </w:rPr>
        <w:t xml:space="preserve">U </w:t>
      </w:r>
      <w:proofErr w:type="spellStart"/>
      <w:r w:rsidRPr="00ED16CA">
        <w:rPr>
          <w:rFonts w:cstheme="minorHAnsi"/>
          <w:sz w:val="24"/>
          <w:szCs w:val="24"/>
        </w:rPr>
        <w:t>drugom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ciklusu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prijavljivanja</w:t>
      </w:r>
      <w:proofErr w:type="spellEnd"/>
      <w:r w:rsidRPr="00ED16CA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na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Stalni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javni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poziv</w:t>
      </w:r>
      <w:proofErr w:type="spellEnd"/>
      <w:r w:rsidRPr="00ED16CA">
        <w:rPr>
          <w:rFonts w:cstheme="minorHAnsi"/>
          <w:sz w:val="24"/>
          <w:szCs w:val="24"/>
        </w:rPr>
        <w:t xml:space="preserve"> za </w:t>
      </w:r>
      <w:proofErr w:type="spellStart"/>
      <w:r w:rsidRPr="00ED16CA">
        <w:rPr>
          <w:rFonts w:cstheme="minorHAnsi"/>
          <w:sz w:val="24"/>
          <w:szCs w:val="24"/>
        </w:rPr>
        <w:t>podršku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takmičenjima</w:t>
      </w:r>
      <w:proofErr w:type="spellEnd"/>
      <w:r w:rsidRPr="00ED16CA">
        <w:rPr>
          <w:rFonts w:cstheme="minorHAnsi"/>
          <w:sz w:val="24"/>
          <w:szCs w:val="24"/>
        </w:rPr>
        <w:t xml:space="preserve"> i </w:t>
      </w:r>
      <w:proofErr w:type="spellStart"/>
      <w:r w:rsidRPr="00ED16CA">
        <w:rPr>
          <w:rFonts w:cstheme="minorHAnsi"/>
          <w:sz w:val="24"/>
          <w:szCs w:val="24"/>
        </w:rPr>
        <w:t>takmičarskim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manifestacijama</w:t>
      </w:r>
      <w:proofErr w:type="spellEnd"/>
      <w:r w:rsidRPr="00ED16CA">
        <w:rPr>
          <w:rFonts w:cstheme="minorHAnsi"/>
          <w:sz w:val="24"/>
          <w:szCs w:val="24"/>
        </w:rPr>
        <w:t xml:space="preserve"> u </w:t>
      </w:r>
      <w:proofErr w:type="spellStart"/>
      <w:r w:rsidRPr="00ED16CA">
        <w:rPr>
          <w:rFonts w:cstheme="minorHAnsi"/>
          <w:sz w:val="24"/>
          <w:szCs w:val="24"/>
        </w:rPr>
        <w:t>oblasti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odgoja</w:t>
      </w:r>
      <w:proofErr w:type="spellEnd"/>
      <w:r w:rsidRPr="00ED16CA">
        <w:rPr>
          <w:rFonts w:cstheme="minorHAnsi"/>
          <w:sz w:val="24"/>
          <w:szCs w:val="24"/>
        </w:rPr>
        <w:t xml:space="preserve"> i obrazovanja </w:t>
      </w:r>
      <w:proofErr w:type="spellStart"/>
      <w:r w:rsidRPr="00ED16CA">
        <w:rPr>
          <w:rFonts w:cstheme="minorHAnsi"/>
          <w:sz w:val="24"/>
          <w:szCs w:val="24"/>
        </w:rPr>
        <w:t>iz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Budžeta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FBiH</w:t>
      </w:r>
      <w:proofErr w:type="spellEnd"/>
      <w:r w:rsidRPr="00ED16CA">
        <w:rPr>
          <w:rFonts w:cstheme="minorHAnsi"/>
          <w:sz w:val="24"/>
          <w:szCs w:val="24"/>
        </w:rPr>
        <w:t xml:space="preserve"> u 2025. </w:t>
      </w:r>
      <w:proofErr w:type="spellStart"/>
      <w:r w:rsidRPr="00ED16CA">
        <w:rPr>
          <w:rFonts w:cstheme="minorHAnsi"/>
          <w:sz w:val="24"/>
          <w:szCs w:val="24"/>
        </w:rPr>
        <w:t>godini</w:t>
      </w:r>
      <w:proofErr w:type="spellEnd"/>
      <w:r w:rsidRPr="00ED16CA">
        <w:rPr>
          <w:rFonts w:eastAsia="Calibri" w:cstheme="minorHAnsi"/>
          <w:sz w:val="24"/>
          <w:szCs w:val="24"/>
        </w:rPr>
        <w:t>,</w:t>
      </w:r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evidentirane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su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dvije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sz w:val="24"/>
          <w:szCs w:val="24"/>
        </w:rPr>
        <w:t>prijave</w:t>
      </w:r>
      <w:proofErr w:type="spellEnd"/>
      <w:r w:rsidRPr="00ED16CA">
        <w:rPr>
          <w:rFonts w:cstheme="minorHAnsi"/>
          <w:sz w:val="24"/>
          <w:szCs w:val="24"/>
        </w:rPr>
        <w:t xml:space="preserve">, i to </w:t>
      </w:r>
      <w:proofErr w:type="spellStart"/>
      <w:r w:rsidRPr="00ED16CA">
        <w:rPr>
          <w:rFonts w:cstheme="minorHAnsi"/>
          <w:sz w:val="24"/>
          <w:szCs w:val="24"/>
        </w:rPr>
        <w:t>dvije</w:t>
      </w:r>
      <w:proofErr w:type="spellEnd"/>
      <w:r w:rsidRPr="00ED16CA">
        <w:rPr>
          <w:rFonts w:cstheme="minorHAnsi"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neispravne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prijave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(</w:t>
      </w:r>
      <w:proofErr w:type="spellStart"/>
      <w:r w:rsidRPr="00ED16CA">
        <w:rPr>
          <w:rFonts w:cstheme="minorHAnsi"/>
          <w:b/>
          <w:sz w:val="24"/>
          <w:szCs w:val="24"/>
        </w:rPr>
        <w:t>neodgovarajuće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i/</w:t>
      </w:r>
      <w:proofErr w:type="spellStart"/>
      <w:r w:rsidRPr="00ED16CA">
        <w:rPr>
          <w:rFonts w:cstheme="minorHAnsi"/>
          <w:b/>
          <w:sz w:val="24"/>
          <w:szCs w:val="24"/>
        </w:rPr>
        <w:t>ili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nepotpune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), bez </w:t>
      </w:r>
      <w:proofErr w:type="spellStart"/>
      <w:r w:rsidRPr="00ED16CA">
        <w:rPr>
          <w:rFonts w:cstheme="minorHAnsi"/>
          <w:b/>
          <w:sz w:val="24"/>
          <w:szCs w:val="24"/>
        </w:rPr>
        <w:t>mogućnosti</w:t>
      </w:r>
      <w:proofErr w:type="spellEnd"/>
      <w:r w:rsidRPr="00ED16CA">
        <w:rPr>
          <w:rFonts w:cstheme="minorHAnsi"/>
          <w:b/>
          <w:sz w:val="24"/>
          <w:szCs w:val="24"/>
        </w:rPr>
        <w:t xml:space="preserve"> </w:t>
      </w:r>
      <w:proofErr w:type="spellStart"/>
      <w:r w:rsidRPr="00ED16CA">
        <w:rPr>
          <w:rFonts w:cstheme="minorHAnsi"/>
          <w:b/>
          <w:sz w:val="24"/>
          <w:szCs w:val="24"/>
        </w:rPr>
        <w:t>dopune</w:t>
      </w:r>
      <w:proofErr w:type="spellEnd"/>
      <w:r w:rsidRPr="00ED16CA">
        <w:rPr>
          <w:rFonts w:cstheme="minorHAnsi"/>
          <w:b/>
          <w:sz w:val="24"/>
          <w:szCs w:val="24"/>
        </w:rPr>
        <w:t>.</w:t>
      </w:r>
    </w:p>
    <w:p w14:paraId="74D5CDC7" w14:textId="7F29F592" w:rsidR="00084597" w:rsidRPr="00ED16CA" w:rsidRDefault="00B42D01" w:rsidP="00807B1E">
      <w:p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ED16CA">
        <w:rPr>
          <w:rFonts w:cstheme="minorHAnsi"/>
          <w:sz w:val="24"/>
          <w:szCs w:val="24"/>
          <w:lang w:val="hr-HR"/>
        </w:rPr>
        <w:t>Podnosioci prijava</w:t>
      </w:r>
      <w:r w:rsidRPr="00ED16CA">
        <w:rPr>
          <w:rFonts w:cstheme="minorHAnsi"/>
          <w:sz w:val="24"/>
          <w:szCs w:val="24"/>
        </w:rPr>
        <w:t xml:space="preserve"> </w:t>
      </w:r>
      <w:r w:rsidRPr="00ED16CA">
        <w:rPr>
          <w:rFonts w:cstheme="minorHAnsi"/>
          <w:sz w:val="24"/>
          <w:szCs w:val="24"/>
          <w:lang w:val="hr-HR"/>
        </w:rPr>
        <w:t xml:space="preserve">prigovore mogu dostaviti putem pošte na adresu FEDERALNO MINISTARSTVO OBRAZOVANJA I NAUKE, </w:t>
      </w:r>
      <w:r w:rsidR="00655536" w:rsidRPr="00ED16CA">
        <w:rPr>
          <w:rFonts w:cstheme="minorHAnsi"/>
          <w:sz w:val="24"/>
          <w:szCs w:val="24"/>
          <w:lang w:val="hr-HR"/>
        </w:rPr>
        <w:t>Ulica Krpića broj 3A,</w:t>
      </w:r>
      <w:r w:rsidRPr="00ED16CA">
        <w:rPr>
          <w:rFonts w:cstheme="minorHAnsi"/>
          <w:sz w:val="24"/>
          <w:szCs w:val="24"/>
          <w:lang w:val="hr-HR"/>
        </w:rPr>
        <w:t xml:space="preserve"> 88000 Mostar; </w:t>
      </w:r>
      <w:r w:rsidR="00793F04" w:rsidRPr="00ED16CA">
        <w:rPr>
          <w:rFonts w:cstheme="minorHAnsi"/>
          <w:sz w:val="24"/>
          <w:szCs w:val="24"/>
          <w:lang w:val="hr-HR"/>
        </w:rPr>
        <w:t>s</w:t>
      </w:r>
      <w:r w:rsidRPr="00ED16CA">
        <w:rPr>
          <w:rFonts w:cstheme="minorHAnsi"/>
          <w:sz w:val="24"/>
          <w:szCs w:val="24"/>
          <w:lang w:val="hr-HR"/>
        </w:rPr>
        <w:t xml:space="preserve">a napomenom: „Prigovor na rezultate selekcije prijava na Stalni javni poziv za podršku takmičenjima i takmičarskim manifestacijama u oblasti odgoja i obrazovanja iz Budžeta FBiH u 2025. godini </w:t>
      </w:r>
      <w:r w:rsidR="00807B1E" w:rsidRPr="00ED16CA">
        <w:rPr>
          <w:rFonts w:cstheme="minorHAnsi"/>
          <w:sz w:val="24"/>
          <w:szCs w:val="24"/>
          <w:lang w:val="hr-HR"/>
        </w:rPr>
        <w:t xml:space="preserve">– ne otvarati“. </w:t>
      </w:r>
      <w:r w:rsidRPr="00ED16CA">
        <w:rPr>
          <w:rFonts w:cstheme="minorHAnsi"/>
          <w:sz w:val="24"/>
          <w:szCs w:val="24"/>
          <w:lang w:val="hr-HR"/>
        </w:rPr>
        <w:t>Rok za dostavljenje prigovora je pet dana od dana objave ovih rezultata na web stranici Ministarstva.</w:t>
      </w:r>
    </w:p>
    <w:tbl>
      <w:tblPr>
        <w:tblStyle w:val="TableGrid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686"/>
        <w:gridCol w:w="1701"/>
        <w:gridCol w:w="1701"/>
        <w:gridCol w:w="2977"/>
      </w:tblGrid>
      <w:tr w:rsidR="00FB288F" w:rsidRPr="001263FD" w14:paraId="04023C52" w14:textId="77777777" w:rsidTr="00036740">
        <w:trPr>
          <w:trHeight w:val="750"/>
        </w:trPr>
        <w:tc>
          <w:tcPr>
            <w:tcW w:w="14029" w:type="dxa"/>
            <w:gridSpan w:val="7"/>
            <w:shd w:val="clear" w:color="auto" w:fill="FFFF00"/>
          </w:tcPr>
          <w:p w14:paraId="6DEEFA39" w14:textId="5708F4A4" w:rsidR="00FB288F" w:rsidRPr="00ED16CA" w:rsidRDefault="00FB288F" w:rsidP="008D5FF3">
            <w:pPr>
              <w:rPr>
                <w:rFonts w:eastAsia="Times New Roman" w:cstheme="minorHAnsi"/>
                <w:b/>
                <w:bCs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u w:val="single"/>
                <w:lang w:val="hr-HR" w:eastAsia="hr-HR"/>
              </w:rPr>
              <w:t>Neodgov</w:t>
            </w:r>
            <w:r w:rsidR="008D5FF3" w:rsidRPr="00ED16CA">
              <w:rPr>
                <w:rFonts w:eastAsia="Times New Roman" w:cstheme="minorHAnsi"/>
                <w:b/>
                <w:bCs/>
                <w:u w:val="single"/>
                <w:lang w:val="hr-HR" w:eastAsia="hr-HR"/>
              </w:rPr>
              <w:t>a</w:t>
            </w:r>
            <w:r w:rsidRPr="00ED16CA">
              <w:rPr>
                <w:rFonts w:eastAsia="Times New Roman" w:cstheme="minorHAnsi"/>
                <w:b/>
                <w:bCs/>
                <w:u w:val="single"/>
                <w:lang w:val="hr-HR" w:eastAsia="hr-HR"/>
              </w:rPr>
              <w:t>rajuće i nepotpune prijave bez mogućnosti dopune istih</w:t>
            </w:r>
            <w:r w:rsidRPr="00ED16CA">
              <w:rPr>
                <w:rFonts w:eastAsia="Times New Roman" w:cstheme="minorHAnsi"/>
                <w:b/>
                <w:bCs/>
                <w:lang w:val="hr-HR" w:eastAsia="hr-HR"/>
              </w:rPr>
              <w:t>. Podnosioci prijava navedeni u ovoj tabeli imaju mogućnost prigovora Federalnom ministarstvu obrazovanja i nauke na rezultate selekcije prijava u roku od 5 dana od dana objave ovih rezultata na web stranici Ministarstva.</w:t>
            </w:r>
          </w:p>
        </w:tc>
      </w:tr>
      <w:tr w:rsidR="00036740" w:rsidRPr="001263FD" w14:paraId="413DC020" w14:textId="77777777" w:rsidTr="00036740">
        <w:trPr>
          <w:trHeight w:val="750"/>
        </w:trPr>
        <w:tc>
          <w:tcPr>
            <w:tcW w:w="562" w:type="dxa"/>
            <w:shd w:val="clear" w:color="auto" w:fill="FBE4D5"/>
            <w:hideMark/>
          </w:tcPr>
          <w:p w14:paraId="769F6A66" w14:textId="77777777" w:rsidR="001263FD" w:rsidRPr="00E20102" w:rsidRDefault="001263FD" w:rsidP="001263F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bs-Latn-BA" w:eastAsia="hr-HR"/>
              </w:rPr>
            </w:pPr>
            <w:r w:rsidRPr="00E20102">
              <w:rPr>
                <w:rFonts w:ascii="Arial" w:eastAsia="Times New Roman" w:hAnsi="Arial" w:cs="Arial"/>
                <w:b/>
                <w:bCs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2410" w:type="dxa"/>
            <w:shd w:val="clear" w:color="auto" w:fill="FBE4D5"/>
            <w:hideMark/>
          </w:tcPr>
          <w:p w14:paraId="5CC1D539" w14:textId="77777777" w:rsidR="001263FD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>Naziv podnosioca zahtjeva</w:t>
            </w:r>
          </w:p>
        </w:tc>
        <w:tc>
          <w:tcPr>
            <w:tcW w:w="992" w:type="dxa"/>
            <w:shd w:val="clear" w:color="auto" w:fill="FBE4D5"/>
            <w:hideMark/>
          </w:tcPr>
          <w:p w14:paraId="131DC373" w14:textId="2B1EB0D6" w:rsidR="001263FD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>Kanton</w:t>
            </w:r>
          </w:p>
        </w:tc>
        <w:tc>
          <w:tcPr>
            <w:tcW w:w="3686" w:type="dxa"/>
            <w:shd w:val="clear" w:color="auto" w:fill="FBE4D5"/>
            <w:hideMark/>
          </w:tcPr>
          <w:p w14:paraId="77DFE126" w14:textId="77777777" w:rsidR="001263FD" w:rsidRPr="00ED16CA" w:rsidRDefault="001263FD" w:rsidP="001263FD">
            <w:pPr>
              <w:rPr>
                <w:rFonts w:eastAsia="Times New Roman" w:cstheme="minorHAnsi"/>
                <w:b/>
                <w:bCs/>
                <w:i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iCs/>
                <w:sz w:val="22"/>
                <w:szCs w:val="22"/>
                <w:lang w:val="hr-HR" w:eastAsia="hr-HR"/>
              </w:rPr>
              <w:t>Naziv projekta</w:t>
            </w:r>
          </w:p>
        </w:tc>
        <w:tc>
          <w:tcPr>
            <w:tcW w:w="1701" w:type="dxa"/>
            <w:shd w:val="clear" w:color="auto" w:fill="FBE4D5"/>
            <w:hideMark/>
          </w:tcPr>
          <w:p w14:paraId="4151B076" w14:textId="77777777" w:rsidR="00036740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 xml:space="preserve">Ukupna </w:t>
            </w:r>
          </w:p>
          <w:p w14:paraId="62CD6EDB" w14:textId="1A3012E6" w:rsidR="001263FD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>vrijednost</w:t>
            </w:r>
          </w:p>
        </w:tc>
        <w:tc>
          <w:tcPr>
            <w:tcW w:w="1701" w:type="dxa"/>
            <w:shd w:val="clear" w:color="auto" w:fill="FBE4D5"/>
            <w:hideMark/>
          </w:tcPr>
          <w:p w14:paraId="7E22B1BA" w14:textId="5BF25D04" w:rsidR="001263FD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>Tražena vrijednost</w:t>
            </w:r>
          </w:p>
        </w:tc>
        <w:tc>
          <w:tcPr>
            <w:tcW w:w="2977" w:type="dxa"/>
            <w:shd w:val="clear" w:color="auto" w:fill="FBE4D5"/>
            <w:hideMark/>
          </w:tcPr>
          <w:p w14:paraId="14093B89" w14:textId="77777777" w:rsidR="001263FD" w:rsidRPr="00ED16CA" w:rsidRDefault="001263FD" w:rsidP="001263FD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ED16CA"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  <w:t>Ocjena zadovoljenosti formalno-pravnih uslova:</w:t>
            </w:r>
          </w:p>
        </w:tc>
      </w:tr>
      <w:tr w:rsidR="009975B8" w:rsidRPr="001263FD" w14:paraId="60BB5DEB" w14:textId="77777777" w:rsidTr="00C05B8E">
        <w:trPr>
          <w:trHeight w:val="983"/>
        </w:trPr>
        <w:tc>
          <w:tcPr>
            <w:tcW w:w="562" w:type="dxa"/>
            <w:vAlign w:val="center"/>
            <w:hideMark/>
          </w:tcPr>
          <w:p w14:paraId="79005ECB" w14:textId="13B5C90D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b/>
                <w:bCs/>
              </w:rPr>
              <w:t xml:space="preserve"> 1.</w:t>
            </w:r>
          </w:p>
        </w:tc>
        <w:tc>
          <w:tcPr>
            <w:tcW w:w="2410" w:type="dxa"/>
            <w:vAlign w:val="center"/>
            <w:hideMark/>
          </w:tcPr>
          <w:p w14:paraId="1E41836A" w14:textId="10AE4A0B" w:rsidR="009975B8" w:rsidRPr="00ED16CA" w:rsidRDefault="009975B8" w:rsidP="009975B8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 w:rsidRPr="00ED16CA">
              <w:rPr>
                <w:rFonts w:cstheme="minorHAnsi"/>
                <w:sz w:val="22"/>
                <w:szCs w:val="22"/>
              </w:rPr>
              <w:t>Udruženje</w:t>
            </w:r>
            <w:proofErr w:type="spellEnd"/>
            <w:r w:rsidRPr="00ED16C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16CA">
              <w:rPr>
                <w:rFonts w:cstheme="minorHAnsi"/>
                <w:sz w:val="22"/>
                <w:szCs w:val="22"/>
              </w:rPr>
              <w:t>građana</w:t>
            </w:r>
            <w:proofErr w:type="spellEnd"/>
            <w:r w:rsidRPr="00ED16CA">
              <w:rPr>
                <w:rFonts w:cstheme="minorHAnsi"/>
                <w:sz w:val="22"/>
                <w:szCs w:val="22"/>
              </w:rPr>
              <w:t xml:space="preserve"> za </w:t>
            </w:r>
            <w:proofErr w:type="spellStart"/>
            <w:r w:rsidRPr="00ED16CA">
              <w:rPr>
                <w:rFonts w:cstheme="minorHAnsi"/>
                <w:sz w:val="22"/>
                <w:szCs w:val="22"/>
              </w:rPr>
              <w:t>razvoj</w:t>
            </w:r>
            <w:proofErr w:type="spellEnd"/>
            <w:r w:rsidRPr="00ED16C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16CA">
              <w:rPr>
                <w:rFonts w:cstheme="minorHAnsi"/>
                <w:sz w:val="22"/>
                <w:szCs w:val="22"/>
              </w:rPr>
              <w:t>kompetencija</w:t>
            </w:r>
            <w:proofErr w:type="spellEnd"/>
            <w:r w:rsidRPr="00ED16CA">
              <w:rPr>
                <w:rFonts w:cstheme="minorHAnsi"/>
                <w:sz w:val="22"/>
                <w:szCs w:val="22"/>
              </w:rPr>
              <w:t xml:space="preserve"> “Nada”, </w:t>
            </w:r>
            <w:proofErr w:type="spellStart"/>
            <w:r w:rsidRPr="00ED16CA">
              <w:rPr>
                <w:rFonts w:cstheme="minorHAnsi"/>
                <w:sz w:val="22"/>
                <w:szCs w:val="22"/>
              </w:rPr>
              <w:t>Zenica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525B421D" w14:textId="0A61CC84" w:rsidR="009975B8" w:rsidRPr="00ED16CA" w:rsidRDefault="009975B8" w:rsidP="009975B8">
            <w:pPr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ED16CA">
              <w:rPr>
                <w:rFonts w:cstheme="minorHAnsi"/>
                <w:sz w:val="22"/>
                <w:szCs w:val="22"/>
              </w:rPr>
              <w:t>ZDK</w:t>
            </w:r>
          </w:p>
        </w:tc>
        <w:tc>
          <w:tcPr>
            <w:tcW w:w="3686" w:type="dxa"/>
            <w:vAlign w:val="center"/>
            <w:hideMark/>
          </w:tcPr>
          <w:p w14:paraId="12042CC0" w14:textId="59122BCB" w:rsidR="009975B8" w:rsidRPr="00ED16CA" w:rsidRDefault="009975B8" w:rsidP="009975B8">
            <w:pPr>
              <w:rPr>
                <w:rFonts w:eastAsia="Times New Roman" w:cstheme="minorHAnsi"/>
                <w:i/>
                <w:iCs/>
                <w:sz w:val="22"/>
                <w:szCs w:val="22"/>
                <w:lang w:val="hr-HR" w:eastAsia="hr-HR"/>
              </w:rPr>
            </w:pPr>
            <w:proofErr w:type="spellStart"/>
            <w:r w:rsidRPr="00ED16CA">
              <w:rPr>
                <w:rFonts w:cstheme="minorHAnsi"/>
                <w:i/>
                <w:sz w:val="22"/>
                <w:szCs w:val="22"/>
              </w:rPr>
              <w:t>Manifestacija</w:t>
            </w:r>
            <w:proofErr w:type="spellEnd"/>
            <w:r w:rsidRPr="00ED16CA">
              <w:rPr>
                <w:rFonts w:cstheme="minorHAnsi"/>
                <w:i/>
                <w:sz w:val="22"/>
                <w:szCs w:val="22"/>
              </w:rPr>
              <w:t xml:space="preserve"> “Mali </w:t>
            </w:r>
            <w:proofErr w:type="spellStart"/>
            <w:r w:rsidRPr="00ED16CA">
              <w:rPr>
                <w:rFonts w:cstheme="minorHAnsi"/>
                <w:i/>
                <w:sz w:val="22"/>
                <w:szCs w:val="22"/>
              </w:rPr>
              <w:t>ljudi</w:t>
            </w:r>
            <w:proofErr w:type="spellEnd"/>
            <w:r w:rsidRPr="00ED16CA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ED16CA">
              <w:rPr>
                <w:rFonts w:cstheme="minorHAnsi"/>
                <w:i/>
                <w:sz w:val="22"/>
                <w:szCs w:val="22"/>
              </w:rPr>
              <w:t>velikog</w:t>
            </w:r>
            <w:proofErr w:type="spellEnd"/>
            <w:r w:rsidRPr="00ED16CA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ED16CA">
              <w:rPr>
                <w:rFonts w:cstheme="minorHAnsi"/>
                <w:i/>
                <w:sz w:val="22"/>
                <w:szCs w:val="22"/>
              </w:rPr>
              <w:t>srca</w:t>
            </w:r>
            <w:proofErr w:type="spellEnd"/>
            <w:r w:rsidRPr="00ED16CA">
              <w:rPr>
                <w:rFonts w:cstheme="minorHAnsi"/>
                <w:i/>
                <w:sz w:val="22"/>
                <w:szCs w:val="22"/>
              </w:rPr>
              <w:t>”</w:t>
            </w:r>
          </w:p>
        </w:tc>
        <w:tc>
          <w:tcPr>
            <w:tcW w:w="1701" w:type="dxa"/>
            <w:vAlign w:val="center"/>
            <w:hideMark/>
          </w:tcPr>
          <w:p w14:paraId="45358FE6" w14:textId="544CFDF7" w:rsidR="009975B8" w:rsidRPr="008D5FF3" w:rsidRDefault="009975B8" w:rsidP="009975B8">
            <w:pPr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D5FF3">
              <w:rPr>
                <w:rFonts w:cstheme="minorHAnsi"/>
                <w:sz w:val="22"/>
                <w:szCs w:val="22"/>
              </w:rPr>
              <w:t>12.910,00</w:t>
            </w:r>
          </w:p>
        </w:tc>
        <w:tc>
          <w:tcPr>
            <w:tcW w:w="1701" w:type="dxa"/>
            <w:vAlign w:val="center"/>
            <w:hideMark/>
          </w:tcPr>
          <w:p w14:paraId="32DE55B4" w14:textId="2E3835FA" w:rsidR="009975B8" w:rsidRPr="008D5FF3" w:rsidRDefault="009975B8" w:rsidP="009975B8">
            <w:pPr>
              <w:rPr>
                <w:rFonts w:eastAsia="Times New Roman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8D5FF3">
              <w:rPr>
                <w:rFonts w:cstheme="minorHAnsi"/>
                <w:sz w:val="22"/>
                <w:szCs w:val="22"/>
              </w:rPr>
              <w:t>9.900,00</w:t>
            </w:r>
          </w:p>
        </w:tc>
        <w:tc>
          <w:tcPr>
            <w:tcW w:w="2977" w:type="dxa"/>
            <w:vAlign w:val="center"/>
            <w:hideMark/>
          </w:tcPr>
          <w:p w14:paraId="168AAA7E" w14:textId="48FA2D48" w:rsidR="009975B8" w:rsidRPr="00084597" w:rsidRDefault="009975B8" w:rsidP="009975B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Neispravna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(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neodgovarajuća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prijava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- bez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mogućnosti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dopune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  <w:lang w:eastAsia="bs-Latn-BA"/>
              </w:rPr>
              <w:t>)</w:t>
            </w:r>
            <w:r w:rsidRPr="0004163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ne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ispunjava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uslove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Stalnog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javnog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poziva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podršku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takmičenjima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takmičarskim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manifestacijama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oblasti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odgoja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obrazovanja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Budžeta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FBiH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u 2025.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godini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:                                                                    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Korisnici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sredstava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okviru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Stalnog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javnog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poziva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podršku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takmičenjima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lastRenderedPageBreak/>
              <w:t>takmičarskim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manifestacijama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oblasti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odgoja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obrazovanja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Budžeta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FBiH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u 2025.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godini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mogu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predškolske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ustanove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osnovne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srednje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škole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pedagoški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zavodi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druge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ustanove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registrirane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ovu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djelatnost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stručne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nevladine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organizacije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koje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organiziraju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takmičenja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neki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predmeta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nastavnog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plana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osnovnih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srednjih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škola.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Budući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podnosilac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Zahtjeva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nije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stručna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nevladina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organizacija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koja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organizira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takmičenja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neki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predmeta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nastavnog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plana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osnovnih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srednjih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škola,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odnosno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svojim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projektom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ne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predviđa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organiziranje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takmičenja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neki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od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predmeta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nastavnog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plana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osnovnih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srednjih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škola,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isti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ne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korisnik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sredstava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ovog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pa ova </w:t>
            </w:r>
            <w:proofErr w:type="spellStart"/>
            <w:r w:rsidRPr="00041638"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 w:rsidRPr="000416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ova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neće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razmatrana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975B8" w:rsidRPr="001263FD" w14:paraId="630687C1" w14:textId="77777777" w:rsidTr="00C05B8E">
        <w:trPr>
          <w:trHeight w:val="841"/>
        </w:trPr>
        <w:tc>
          <w:tcPr>
            <w:tcW w:w="562" w:type="dxa"/>
            <w:vAlign w:val="center"/>
            <w:hideMark/>
          </w:tcPr>
          <w:p w14:paraId="0F0ED86A" w14:textId="2B1B983D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b/>
                <w:bCs/>
              </w:rPr>
              <w:lastRenderedPageBreak/>
              <w:t xml:space="preserve"> 2.</w:t>
            </w:r>
          </w:p>
        </w:tc>
        <w:tc>
          <w:tcPr>
            <w:tcW w:w="2410" w:type="dxa"/>
            <w:vAlign w:val="center"/>
            <w:hideMark/>
          </w:tcPr>
          <w:p w14:paraId="47911E65" w14:textId="50EB252F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 Osnovna škola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Mujaga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Komadina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 Mostar</w:t>
            </w:r>
          </w:p>
        </w:tc>
        <w:tc>
          <w:tcPr>
            <w:tcW w:w="992" w:type="dxa"/>
            <w:vAlign w:val="center"/>
            <w:hideMark/>
          </w:tcPr>
          <w:p w14:paraId="2547D1E6" w14:textId="263AE0C3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HNK</w:t>
            </w:r>
          </w:p>
        </w:tc>
        <w:tc>
          <w:tcPr>
            <w:tcW w:w="3686" w:type="dxa"/>
            <w:vAlign w:val="center"/>
            <w:hideMark/>
          </w:tcPr>
          <w:p w14:paraId="4F4C29CA" w14:textId="4F96DC40" w:rsidR="009975B8" w:rsidRPr="001263FD" w:rsidRDefault="009975B8" w:rsidP="00F756E5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 w:rsidRPr="00F24E54">
              <w:rPr>
                <w:rFonts w:ascii="Calibri" w:hAnsi="Calibri" w:cs="Calibri"/>
                <w:sz w:val="22"/>
                <w:szCs w:val="22"/>
              </w:rPr>
              <w:t xml:space="preserve">„English in Action –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Interaktivna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nastava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engleskog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jezika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kroz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digitalne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tehnologije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gradsko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24E54">
              <w:rPr>
                <w:rFonts w:ascii="Calibri" w:hAnsi="Calibri" w:cs="Calibri"/>
                <w:sz w:val="22"/>
                <w:szCs w:val="22"/>
              </w:rPr>
              <w:t>takmičenje</w:t>
            </w:r>
            <w:proofErr w:type="spellEnd"/>
            <w:r w:rsidRPr="00F24E54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  <w:tc>
          <w:tcPr>
            <w:tcW w:w="1701" w:type="dxa"/>
            <w:vAlign w:val="center"/>
            <w:hideMark/>
          </w:tcPr>
          <w:p w14:paraId="37EBFDEE" w14:textId="15CFE761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06B07">
              <w:rPr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C06B07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  <w:hideMark/>
          </w:tcPr>
          <w:p w14:paraId="73795B3D" w14:textId="77D8D0D6" w:rsidR="009975B8" w:rsidRPr="001263FD" w:rsidRDefault="009975B8" w:rsidP="009975B8">
            <w:pP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C06B07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.8</w:t>
            </w:r>
            <w:r w:rsidRPr="00C06B07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  <w:tc>
          <w:tcPr>
            <w:tcW w:w="2977" w:type="dxa"/>
            <w:vAlign w:val="center"/>
            <w:hideMark/>
          </w:tcPr>
          <w:p w14:paraId="11AE33D1" w14:textId="2B502B6A" w:rsidR="009975B8" w:rsidRPr="00084597" w:rsidRDefault="009975B8" w:rsidP="009975B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proofErr w:type="spellStart"/>
            <w:r w:rsidRPr="006A6164">
              <w:rPr>
                <w:rFonts w:ascii="Calibri" w:hAnsi="Calibri" w:cs="Calibri"/>
                <w:sz w:val="22"/>
                <w:szCs w:val="22"/>
              </w:rPr>
              <w:t>Neispravna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A6164"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(</w:t>
            </w:r>
            <w:proofErr w:type="spellStart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neodgovarajuća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bs-Latn-BA"/>
              </w:rPr>
              <w:t>nepotpuna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prijava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- bez </w:t>
            </w:r>
            <w:proofErr w:type="spellStart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mogućnosti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dopune</w:t>
            </w:r>
            <w:proofErr w:type="spellEnd"/>
            <w:r w:rsidRPr="006A6164">
              <w:rPr>
                <w:rFonts w:ascii="Calibri" w:hAnsi="Calibri" w:cs="Calibri"/>
                <w:sz w:val="22"/>
                <w:szCs w:val="22"/>
                <w:lang w:eastAsia="bs-Latn-BA"/>
              </w:rPr>
              <w:t>)</w:t>
            </w:r>
            <w:r w:rsidRPr="006A616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Dostavljenim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Projektom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Finansijskim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planom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utvrđeno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je da je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realizacija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aktivnosti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predviđenih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Projektom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planirana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2026.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godini,što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skladu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tekstom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Stalnog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javnog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poziva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koji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odnosi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vremenski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period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koji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priznaju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prihvatljivi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troškovi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finansiranje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sufinansiranje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aplikacijski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obrazac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potpunosti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popunjen-nije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popunjena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tačka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2.1.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odnosi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dodatne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podatke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budžetske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korisnike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Zahtjev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kompletnom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dokumentacijom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dostavljen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pošte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skladu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objavljenim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tekstom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Stalnog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javnog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poziva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Imajući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gore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navedeno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ova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prijava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neće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razmatrana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F07C113" w14:textId="77777777" w:rsidR="0060422A" w:rsidRPr="00F43254" w:rsidRDefault="0060422A" w:rsidP="004716B2">
      <w:pPr>
        <w:rPr>
          <w:rFonts w:ascii="Arial" w:hAnsi="Arial" w:cs="Arial"/>
          <w:sz w:val="24"/>
          <w:szCs w:val="24"/>
          <w:lang w:val="bs-Latn-BA"/>
        </w:rPr>
      </w:pPr>
    </w:p>
    <w:sectPr w:rsidR="0060422A" w:rsidRPr="00F43254" w:rsidSect="008200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8031D"/>
    <w:multiLevelType w:val="hybridMultilevel"/>
    <w:tmpl w:val="2C8C645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61"/>
    <w:rsid w:val="00036740"/>
    <w:rsid w:val="00084597"/>
    <w:rsid w:val="000C2B61"/>
    <w:rsid w:val="001263FD"/>
    <w:rsid w:val="0014024B"/>
    <w:rsid w:val="002075FF"/>
    <w:rsid w:val="00262437"/>
    <w:rsid w:val="003E27F7"/>
    <w:rsid w:val="003E331C"/>
    <w:rsid w:val="003F621D"/>
    <w:rsid w:val="004716B2"/>
    <w:rsid w:val="004961CD"/>
    <w:rsid w:val="004E4F81"/>
    <w:rsid w:val="00507512"/>
    <w:rsid w:val="005D4838"/>
    <w:rsid w:val="0060422A"/>
    <w:rsid w:val="00655536"/>
    <w:rsid w:val="00793F04"/>
    <w:rsid w:val="007B5FA7"/>
    <w:rsid w:val="007C6708"/>
    <w:rsid w:val="007E1F09"/>
    <w:rsid w:val="00807B1E"/>
    <w:rsid w:val="00820089"/>
    <w:rsid w:val="008934FF"/>
    <w:rsid w:val="008D5FF3"/>
    <w:rsid w:val="00911AB1"/>
    <w:rsid w:val="009975B8"/>
    <w:rsid w:val="00A14A68"/>
    <w:rsid w:val="00AE7924"/>
    <w:rsid w:val="00B42D01"/>
    <w:rsid w:val="00B50F70"/>
    <w:rsid w:val="00C8025C"/>
    <w:rsid w:val="00E20102"/>
    <w:rsid w:val="00E3279E"/>
    <w:rsid w:val="00EB2FE3"/>
    <w:rsid w:val="00ED16CA"/>
    <w:rsid w:val="00ED365B"/>
    <w:rsid w:val="00ED7EBA"/>
    <w:rsid w:val="00F43254"/>
    <w:rsid w:val="00F756E5"/>
    <w:rsid w:val="00F9732E"/>
    <w:rsid w:val="00FB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50A2"/>
  <w15:chartTrackingRefBased/>
  <w15:docId w15:val="{E13A1C07-0932-495A-B9B7-F6FF8B3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63FD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22A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customStyle="1" w:styleId="TableGrid2">
    <w:name w:val="Table Grid2"/>
    <w:basedOn w:val="TableNormal"/>
    <w:next w:val="TableGrid"/>
    <w:uiPriority w:val="39"/>
    <w:rsid w:val="00F9732E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9732E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50F70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6663-60A6-42BA-80E7-4D72A325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Jasmina Oruc</cp:lastModifiedBy>
  <cp:revision>5</cp:revision>
  <cp:lastPrinted>2025-11-26T08:04:00Z</cp:lastPrinted>
  <dcterms:created xsi:type="dcterms:W3CDTF">2025-11-26T08:45:00Z</dcterms:created>
  <dcterms:modified xsi:type="dcterms:W3CDTF">2025-11-26T12:09:00Z</dcterms:modified>
</cp:coreProperties>
</file>