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44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634C1" w:rsidRPr="008C5400" w14:paraId="51D70E23" w14:textId="77777777" w:rsidTr="004634C1">
        <w:tc>
          <w:tcPr>
            <w:tcW w:w="4371" w:type="dxa"/>
            <w:vAlign w:val="center"/>
          </w:tcPr>
          <w:p w14:paraId="5CC548E1" w14:textId="77777777" w:rsidR="004634C1" w:rsidRPr="008C5400" w:rsidRDefault="004634C1" w:rsidP="00637A2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1789D395" w14:textId="77777777" w:rsidR="004634C1" w:rsidRPr="008C5400" w:rsidRDefault="004634C1" w:rsidP="004634C1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</w:tcPr>
          <w:p w14:paraId="1D86A790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4634C1" w:rsidRPr="008C5400" w14:paraId="0E12DD4C" w14:textId="77777777" w:rsidTr="004634C1">
        <w:tc>
          <w:tcPr>
            <w:tcW w:w="4371" w:type="dxa"/>
            <w:vAlign w:val="center"/>
          </w:tcPr>
          <w:p w14:paraId="424631DA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9F34992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</w:tcPr>
          <w:p w14:paraId="255A238F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4634C1" w:rsidRPr="008C5400" w14:paraId="5DC189AB" w14:textId="77777777" w:rsidTr="004634C1">
        <w:tc>
          <w:tcPr>
            <w:tcW w:w="4371" w:type="dxa"/>
            <w:vAlign w:val="center"/>
          </w:tcPr>
          <w:p w14:paraId="04C076DE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669CD659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</w:t>
            </w: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 xml:space="preserve"> MINISTRY OF</w:t>
            </w:r>
          </w:p>
        </w:tc>
        <w:tc>
          <w:tcPr>
            <w:tcW w:w="2881" w:type="dxa"/>
          </w:tcPr>
          <w:p w14:paraId="29D7FAE9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4634C1" w:rsidRPr="008C5400" w14:paraId="4EFC31D5" w14:textId="77777777" w:rsidTr="004634C1">
        <w:tc>
          <w:tcPr>
            <w:tcW w:w="4371" w:type="dxa"/>
            <w:vAlign w:val="center"/>
          </w:tcPr>
          <w:p w14:paraId="64CB5AD5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6884ED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</w:tcPr>
          <w:p w14:paraId="0CC0795A" w14:textId="77777777" w:rsidR="004634C1" w:rsidRPr="008C5400" w:rsidRDefault="004634C1" w:rsidP="004634C1">
            <w:pPr>
              <w:jc w:val="center"/>
              <w:rPr>
                <w:sz w:val="14"/>
                <w:szCs w:val="14"/>
              </w:rPr>
            </w:pPr>
            <w:r w:rsidRPr="008C5400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3C10A4CD" w14:textId="77777777" w:rsidR="00CD6421" w:rsidRDefault="00CD6421" w:rsidP="00CD6421">
      <w:pPr>
        <w:rPr>
          <w:sz w:val="22"/>
          <w:szCs w:val="22"/>
        </w:rPr>
      </w:pPr>
    </w:p>
    <w:p w14:paraId="658F1FF1" w14:textId="7C9DB61A" w:rsidR="00CD6421" w:rsidRPr="00663DD2" w:rsidRDefault="00637A2D" w:rsidP="004A4A37">
      <w:pPr>
        <w:ind w:left="-567"/>
        <w:jc w:val="both"/>
        <w:rPr>
          <w:rFonts w:ascii="Arial" w:hAnsi="Arial" w:cs="Arial"/>
          <w:szCs w:val="24"/>
          <w:lang w:val="hr-BA"/>
        </w:rPr>
      </w:pPr>
      <w:r>
        <w:rPr>
          <w:rFonts w:ascii="Arial" w:hAnsi="Arial" w:cs="Arial"/>
          <w:szCs w:val="24"/>
          <w:lang w:val="hr-BA"/>
        </w:rPr>
        <w:t>На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основу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члана</w:t>
      </w:r>
      <w:r w:rsidR="00875C2F" w:rsidRPr="00663DD2">
        <w:rPr>
          <w:rFonts w:ascii="Arial" w:hAnsi="Arial" w:cs="Arial"/>
          <w:szCs w:val="24"/>
          <w:lang w:val="hr-BA"/>
        </w:rPr>
        <w:t xml:space="preserve"> 4. </w:t>
      </w:r>
      <w:r>
        <w:rPr>
          <w:rFonts w:ascii="Arial" w:hAnsi="Arial" w:cs="Arial"/>
          <w:szCs w:val="24"/>
          <w:lang w:val="hr-BA"/>
        </w:rPr>
        <w:t>Уредбе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о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критеријима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за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утврђивање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корисника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и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начину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расподјеле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дијела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прихода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остварених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по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основу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накнада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за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приређивање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игара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на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срећу</w:t>
      </w:r>
      <w:r w:rsidR="009A2256" w:rsidRPr="00663DD2">
        <w:rPr>
          <w:rFonts w:ascii="Arial" w:hAnsi="Arial" w:cs="Arial"/>
          <w:szCs w:val="24"/>
          <w:lang w:val="hr-BA"/>
        </w:rPr>
        <w:t xml:space="preserve"> </w:t>
      </w:r>
      <w:bookmarkStart w:id="0" w:name="_Hlk158285394"/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Службене</w:t>
      </w:r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новине</w:t>
      </w:r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Федерације</w:t>
      </w:r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БиХ</w:t>
      </w:r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бр</w:t>
      </w:r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. 89/15, 11/17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и</w:t>
      </w:r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87/22),</w:t>
      </w:r>
      <w:r w:rsidR="00CD6421" w:rsidRPr="00663DD2">
        <w:rPr>
          <w:rFonts w:ascii="Arial" w:hAnsi="Arial" w:cs="Arial"/>
          <w:szCs w:val="24"/>
          <w:lang w:val="hr-BA"/>
        </w:rPr>
        <w:t xml:space="preserve"> </w:t>
      </w:r>
      <w:bookmarkEnd w:id="0"/>
      <w:r>
        <w:rPr>
          <w:rFonts w:ascii="Arial" w:hAnsi="Arial" w:cs="Arial"/>
          <w:szCs w:val="24"/>
        </w:rPr>
        <w:t>Федерално</w:t>
      </w:r>
      <w:r w:rsidR="00F053FB" w:rsidRPr="00663D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министарство</w:t>
      </w:r>
      <w:r w:rsidR="00CD6421" w:rsidRPr="00663D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="00CD6421" w:rsidRPr="00663D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="00CD6421" w:rsidRPr="00663DD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науке</w:t>
      </w:r>
      <w:r w:rsidR="00CD6421" w:rsidRPr="00663DD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објављује</w:t>
      </w:r>
    </w:p>
    <w:p w14:paraId="3EC947BA" w14:textId="77777777" w:rsidR="00CD6421" w:rsidRPr="00663DD2" w:rsidRDefault="00CD6421" w:rsidP="004A4A37">
      <w:pPr>
        <w:jc w:val="both"/>
        <w:rPr>
          <w:rFonts w:ascii="Arial" w:hAnsi="Arial" w:cs="Arial"/>
          <w:sz w:val="18"/>
          <w:szCs w:val="18"/>
        </w:rPr>
      </w:pPr>
    </w:p>
    <w:p w14:paraId="4AD188FB" w14:textId="018928D1" w:rsidR="00C22DCC" w:rsidRPr="0012210D" w:rsidRDefault="00C22DCC" w:rsidP="004A4A3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210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37A2D">
        <w:rPr>
          <w:rFonts w:ascii="Arial" w:hAnsi="Arial" w:cs="Arial"/>
          <w:b/>
          <w:color w:val="000000"/>
          <w:sz w:val="28"/>
          <w:szCs w:val="28"/>
        </w:rPr>
        <w:t>Упут</w:t>
      </w:r>
      <w:r w:rsidR="000A58B2">
        <w:rPr>
          <w:rFonts w:ascii="Arial" w:hAnsi="Arial" w:cs="Arial"/>
          <w:b/>
          <w:color w:val="000000"/>
          <w:sz w:val="28"/>
          <w:szCs w:val="28"/>
        </w:rPr>
        <w:t>ства</w:t>
      </w:r>
      <w:r w:rsidRPr="0012210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380D9ED" w14:textId="7FA815DC" w:rsidR="00CD6421" w:rsidRPr="0012210D" w:rsidRDefault="00637A2D" w:rsidP="004A4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за</w:t>
      </w:r>
      <w:r w:rsidR="00D1196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подношење</w:t>
      </w:r>
      <w:r w:rsidR="00C22DCC" w:rsidRPr="0012210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пријава</w:t>
      </w:r>
      <w:r w:rsidR="00C22DCC" w:rsidRPr="0012210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на</w:t>
      </w:r>
      <w:r w:rsidR="00C22DCC" w:rsidRPr="0012210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Јавни</w:t>
      </w:r>
      <w:r w:rsidR="007032D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конкурс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</w:p>
    <w:p w14:paraId="613543A5" w14:textId="5652FCA9" w:rsidR="00CD6421" w:rsidRPr="00621482" w:rsidRDefault="00637A2D" w:rsidP="00621482">
      <w:pPr>
        <w:jc w:val="center"/>
        <w:rPr>
          <w:rFonts w:ascii="Arial" w:hAnsi="Arial" w:cs="Arial"/>
          <w:b/>
          <w:sz w:val="28"/>
          <w:szCs w:val="28"/>
          <w:lang w:val="hr-BA"/>
        </w:rPr>
      </w:pPr>
      <w:r>
        <w:rPr>
          <w:rFonts w:ascii="Arial" w:hAnsi="Arial" w:cs="Arial"/>
          <w:b/>
          <w:sz w:val="28"/>
          <w:szCs w:val="28"/>
        </w:rPr>
        <w:t>за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финансирање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пројеката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програма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из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средстава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дијела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прихода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остварених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у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Буџету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Федерације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Босне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и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Херцеговине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по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основу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накнада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за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приређивање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игара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на</w:t>
      </w:r>
      <w:r w:rsidR="00CD6421" w:rsidRPr="0012210D">
        <w:rPr>
          <w:rFonts w:ascii="Arial" w:hAnsi="Arial" w:cs="Arial"/>
          <w:b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sz w:val="28"/>
          <w:szCs w:val="28"/>
          <w:lang w:val="hr-BA"/>
        </w:rPr>
        <w:t>срећу</w:t>
      </w:r>
    </w:p>
    <w:p w14:paraId="5370F605" w14:textId="77777777" w:rsidR="00CD6421" w:rsidRPr="008C5F08" w:rsidRDefault="00CD6421" w:rsidP="004A4A3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</w:t>
      </w:r>
    </w:p>
    <w:p w14:paraId="2F9AF8EE" w14:textId="77777777" w:rsidR="0012210D" w:rsidRDefault="0012210D" w:rsidP="004A4A37">
      <w:pPr>
        <w:ind w:left="-567"/>
        <w:jc w:val="both"/>
        <w:rPr>
          <w:rFonts w:ascii="Arial" w:hAnsi="Arial" w:cs="Arial"/>
          <w:szCs w:val="24"/>
        </w:rPr>
      </w:pPr>
    </w:p>
    <w:p w14:paraId="674C9781" w14:textId="6584AD9F" w:rsidR="00CD6421" w:rsidRPr="0012210D" w:rsidRDefault="00637A2D" w:rsidP="004A4A37">
      <w:pPr>
        <w:ind w:lef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</w:t>
      </w:r>
      <w:r w:rsidR="00CD6421" w:rsidRPr="0012210D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lang w:val="hr-BA"/>
        </w:rPr>
        <w:t>дијела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прихода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остварених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у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Буџету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Федерације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Босне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и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Херцеговине</w:t>
      </w:r>
      <w:r w:rsidR="00CD6421" w:rsidRPr="0012210D">
        <w:rPr>
          <w:rFonts w:ascii="Arial" w:hAnsi="Arial" w:cs="Arial"/>
          <w:szCs w:val="24"/>
          <w:lang w:val="hr-BA"/>
        </w:rPr>
        <w:t xml:space="preserve">  </w:t>
      </w:r>
      <w:r>
        <w:rPr>
          <w:rFonts w:ascii="Arial" w:hAnsi="Arial" w:cs="Arial"/>
          <w:szCs w:val="24"/>
          <w:lang w:val="hr-BA"/>
        </w:rPr>
        <w:t>по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основу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накнада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за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приређивање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игара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на</w:t>
      </w:r>
      <w:r w:rsidR="00CD6421" w:rsidRPr="0012210D">
        <w:rPr>
          <w:rFonts w:ascii="Arial" w:hAnsi="Arial" w:cs="Arial"/>
          <w:szCs w:val="24"/>
          <w:lang w:val="hr-BA"/>
        </w:rPr>
        <w:t xml:space="preserve"> </w:t>
      </w:r>
      <w:r>
        <w:rPr>
          <w:rFonts w:ascii="Arial" w:hAnsi="Arial" w:cs="Arial"/>
          <w:szCs w:val="24"/>
          <w:lang w:val="hr-BA"/>
        </w:rPr>
        <w:t>срећу</w:t>
      </w:r>
      <w:r w:rsidR="00CD6421" w:rsidRPr="0012210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Федерално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министарство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образовања</w:t>
      </w:r>
      <w:r w:rsidR="007032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="007032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науке</w:t>
      </w:r>
      <w:r w:rsidR="007032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расписује</w:t>
      </w:r>
      <w:r w:rsidR="007032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Јавни</w:t>
      </w:r>
      <w:r w:rsidR="007032D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конкурс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прикупљање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захтјева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додјељивање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средстава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сврху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финансирања</w:t>
      </w:r>
      <w:r w:rsidR="00CD6421" w:rsidRPr="0012210D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суфинансирања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пројеката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програма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се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односе</w:t>
      </w:r>
      <w:r w:rsidR="00CD6421" w:rsidRPr="001221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="00CD6421" w:rsidRPr="0012210D">
        <w:rPr>
          <w:rFonts w:ascii="Arial" w:hAnsi="Arial" w:cs="Arial"/>
          <w:szCs w:val="24"/>
        </w:rPr>
        <w:t>:</w:t>
      </w:r>
    </w:p>
    <w:p w14:paraId="005D0FED" w14:textId="77777777" w:rsidR="003D7CD6" w:rsidRPr="0012210D" w:rsidRDefault="003D7CD6" w:rsidP="004A4A37">
      <w:pPr>
        <w:ind w:left="-567"/>
        <w:jc w:val="both"/>
        <w:rPr>
          <w:rFonts w:ascii="Arial" w:hAnsi="Arial" w:cs="Arial"/>
          <w:szCs w:val="24"/>
        </w:rPr>
      </w:pPr>
    </w:p>
    <w:p w14:paraId="0D38A555" w14:textId="4967A54F" w:rsidR="00CD6421" w:rsidRPr="000D188C" w:rsidRDefault="00637A2D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заштиту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права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дјетета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која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жртве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злостављања</w:t>
      </w:r>
      <w:r w:rsidR="00CD6421" w:rsidRPr="000D188C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педофилије</w:t>
      </w:r>
      <w:r w:rsidR="00CD6421" w:rsidRPr="000D188C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просјачења</w:t>
      </w:r>
      <w:r w:rsidR="003D7CD6" w:rsidRPr="000D188C">
        <w:rPr>
          <w:rFonts w:ascii="Arial" w:hAnsi="Arial" w:cs="Arial"/>
          <w:lang w:val="bs-Latn-BA"/>
        </w:rPr>
        <w:t>,</w:t>
      </w:r>
    </w:p>
    <w:p w14:paraId="512B6421" w14:textId="61A37D05" w:rsidR="00CD6421" w:rsidRPr="000D188C" w:rsidRDefault="00637A2D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учествовање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лијечењу</w:t>
      </w:r>
      <w:r w:rsidR="00CD6421" w:rsidRPr="000D188C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превенцији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борби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против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овисности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дроги</w:t>
      </w:r>
      <w:r w:rsidR="00CD6421" w:rsidRPr="000D188C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алкохолу</w:t>
      </w:r>
      <w:r w:rsidR="00CD6421" w:rsidRPr="000D188C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играма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D6421" w:rsidRPr="000D188C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коцки</w:t>
      </w:r>
      <w:r w:rsidR="00C967A6" w:rsidRPr="000D188C">
        <w:rPr>
          <w:rFonts w:ascii="Arial" w:hAnsi="Arial" w:cs="Arial"/>
          <w:lang w:val="bs-Latn-BA"/>
        </w:rPr>
        <w:t>.</w:t>
      </w:r>
      <w:r w:rsidR="00CD6421" w:rsidRPr="000D188C">
        <w:rPr>
          <w:rFonts w:ascii="Arial" w:hAnsi="Arial" w:cs="Arial"/>
          <w:lang w:val="bs-Latn-BA"/>
        </w:rPr>
        <w:t xml:space="preserve"> </w:t>
      </w:r>
    </w:p>
    <w:p w14:paraId="08AD1B53" w14:textId="77777777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73FE056F" w14:textId="6FB67E18" w:rsidR="007B2CD7" w:rsidRPr="000D188C" w:rsidRDefault="00637A2D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Право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 w:rsidR="00630FAA" w:rsidRPr="00630FAA">
        <w:rPr>
          <w:rFonts w:ascii="Arial" w:hAnsi="Arial" w:cs="Arial"/>
          <w:szCs w:val="24"/>
          <w:lang w:val="bs-Latn-BA"/>
        </w:rPr>
        <w:t>учешћ</w:t>
      </w:r>
      <w:r w:rsidR="00630FAA">
        <w:rPr>
          <w:rFonts w:ascii="Arial" w:hAnsi="Arial" w:cs="Arial"/>
          <w:szCs w:val="24"/>
          <w:lang w:val="bs-Latn-BA"/>
        </w:rPr>
        <w:t xml:space="preserve">a </w:t>
      </w:r>
      <w:r>
        <w:rPr>
          <w:rFonts w:ascii="Arial" w:hAnsi="Arial" w:cs="Arial"/>
          <w:szCs w:val="24"/>
          <w:lang w:val="bs-Latn-BA"/>
        </w:rPr>
        <w:t>на</w:t>
      </w:r>
      <w:r w:rsidR="007032D6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овом</w:t>
      </w:r>
      <w:r w:rsidR="007032D6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Јавном</w:t>
      </w:r>
      <w:r w:rsidR="007032D6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конкурсу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могу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остварити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удружења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грађана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хуманитарне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организације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сједиштем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територији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Федерације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Босне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Херцеговине</w:t>
      </w:r>
      <w:r w:rsidR="007B2CD7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које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су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основане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складу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важећим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прописима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удружењима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7B2CD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фондацијама</w:t>
      </w:r>
      <w:r w:rsidR="007B2CD7" w:rsidRPr="000D188C">
        <w:rPr>
          <w:rFonts w:ascii="Arial" w:hAnsi="Arial" w:cs="Arial"/>
          <w:szCs w:val="24"/>
          <w:lang w:val="bs-Latn-BA"/>
        </w:rPr>
        <w:t>.</w:t>
      </w:r>
    </w:p>
    <w:p w14:paraId="2E81BCEB" w14:textId="77777777" w:rsidR="0047062B" w:rsidRPr="000D188C" w:rsidRDefault="0047062B" w:rsidP="0047062B">
      <w:pPr>
        <w:jc w:val="both"/>
        <w:rPr>
          <w:rFonts w:ascii="Arial" w:hAnsi="Arial" w:cs="Arial"/>
          <w:b/>
          <w:lang w:val="bs-Latn-BA"/>
        </w:rPr>
      </w:pPr>
    </w:p>
    <w:p w14:paraId="42394396" w14:textId="77777777" w:rsidR="00875C2F" w:rsidRPr="000D188C" w:rsidRDefault="00875C2F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29E29E85" w14:textId="366CC89B" w:rsidR="00CD6421" w:rsidRPr="000D188C" w:rsidRDefault="00637A2D" w:rsidP="004A4A37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Оп</w:t>
      </w:r>
      <w:r w:rsidR="000538AD" w:rsidRPr="000538AD">
        <w:rPr>
          <w:rFonts w:ascii="Arial" w:hAnsi="Arial" w:cs="Arial"/>
          <w:b/>
          <w:lang w:val="bs-Latn-BA"/>
        </w:rPr>
        <w:t>шт</w:t>
      </w:r>
      <w:r w:rsidR="000538AD">
        <w:rPr>
          <w:rFonts w:ascii="Arial" w:hAnsi="Arial" w:cs="Arial"/>
          <w:b/>
          <w:lang w:val="bs-Latn-BA"/>
        </w:rPr>
        <w:t>и</w:t>
      </w:r>
      <w:r w:rsidR="00CD6421" w:rsidRPr="000D188C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b/>
          <w:lang w:val="bs-Latn-BA"/>
        </w:rPr>
        <w:t>критерији</w:t>
      </w:r>
    </w:p>
    <w:p w14:paraId="75E823AA" w14:textId="77777777" w:rsidR="00C93AC0" w:rsidRPr="000D188C" w:rsidRDefault="00C93AC0" w:rsidP="004A4A37">
      <w:pPr>
        <w:pStyle w:val="ListParagraph"/>
        <w:ind w:left="153"/>
        <w:rPr>
          <w:rFonts w:ascii="Arial" w:hAnsi="Arial" w:cs="Arial"/>
          <w:b/>
          <w:lang w:val="bs-Latn-BA"/>
        </w:rPr>
      </w:pPr>
    </w:p>
    <w:p w14:paraId="65AD184F" w14:textId="09B67E0F" w:rsidR="00CD6421" w:rsidRPr="000D188C" w:rsidRDefault="00637A2D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Средства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усмјеравају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финансирање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пројеката</w:t>
      </w:r>
      <w:r w:rsidR="000B1C2A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0B1C2A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програма</w:t>
      </w:r>
      <w:r w:rsidR="000B1C2A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које</w:t>
      </w:r>
      <w:r w:rsidR="000B1C2A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предлажу</w:t>
      </w:r>
      <w:r w:rsidR="000B1C2A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удружења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грађана</w:t>
      </w:r>
      <w:r w:rsidR="004A4A3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4A4A3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хуманитарне</w:t>
      </w:r>
      <w:r w:rsidR="004A4A37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организације</w:t>
      </w:r>
      <w:r w:rsidR="00CD6421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то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сљедећих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оп</w:t>
      </w:r>
      <w:r w:rsidR="000E4302" w:rsidRPr="000E4302">
        <w:rPr>
          <w:rFonts w:ascii="Arial" w:hAnsi="Arial" w:cs="Arial"/>
          <w:szCs w:val="24"/>
          <w:lang w:val="bs-Latn-BA"/>
        </w:rPr>
        <w:t>шт</w:t>
      </w:r>
      <w:r>
        <w:rPr>
          <w:rFonts w:ascii="Arial" w:hAnsi="Arial" w:cs="Arial"/>
          <w:szCs w:val="24"/>
          <w:lang w:val="bs-Latn-BA"/>
        </w:rPr>
        <w:t>их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критерија</w:t>
      </w:r>
      <w:r w:rsidR="00CD6421" w:rsidRPr="000D188C">
        <w:rPr>
          <w:rFonts w:ascii="Arial" w:hAnsi="Arial" w:cs="Arial"/>
          <w:szCs w:val="24"/>
          <w:lang w:val="bs-Latn-BA"/>
        </w:rPr>
        <w:t xml:space="preserve">: </w:t>
      </w:r>
    </w:p>
    <w:p w14:paraId="3C8A69BD" w14:textId="77777777" w:rsidR="005630C4" w:rsidRPr="000D188C" w:rsidRDefault="005630C4" w:rsidP="005630C4">
      <w:pPr>
        <w:jc w:val="both"/>
        <w:rPr>
          <w:rFonts w:ascii="Arial" w:hAnsi="Arial" w:cs="Arial"/>
          <w:szCs w:val="24"/>
          <w:lang w:val="bs-Latn-BA"/>
        </w:rPr>
      </w:pPr>
    </w:p>
    <w:p w14:paraId="3F3C4939" w14:textId="79FD382E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1)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календарских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година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пословања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D3121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" w:name="_Hlk158286442"/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Start w:id="2" w:name="_Hlk158375171"/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bookmarkEnd w:id="2"/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bookmarkEnd w:id="1"/>
    </w:p>
    <w:p w14:paraId="06D1DF23" w14:textId="252680D8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2)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реализованих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програма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финансирани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стране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других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органа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управе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9A455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0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9A455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</w:t>
      </w:r>
      <w:r w:rsidR="009A455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броју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</w:p>
    <w:p w14:paraId="3C69E382" w14:textId="2E196C0B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3) </w:t>
      </w:r>
      <w:bookmarkStart w:id="3" w:name="_Hlk158375683"/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препоруке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стручњака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надлежне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институције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имали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учешћа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изради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предметног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F705A0" w:rsidRPr="00F705A0"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препоруке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нема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задовољава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</w:t>
      </w:r>
      <w:r w:rsidR="006C0833" w:rsidRPr="006C083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шт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  <w:bookmarkEnd w:id="3"/>
    </w:p>
    <w:p w14:paraId="563516C6" w14:textId="3D9D0363" w:rsidR="00E04E8E" w:rsidRDefault="009A2256" w:rsidP="000B1C2A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4)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учешће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властитим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средствима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финансирању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предметног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4B7E6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3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постотку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учешћа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3AB09F27" w14:textId="089D3CD2" w:rsidR="009A2256" w:rsidRPr="00E3077A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 xml:space="preserve">5)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позитивних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извјештаја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ранијег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периода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додијељена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средства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складу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овом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уредбом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3008E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3008E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3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броју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позитивних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извјештаја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</w:p>
    <w:p w14:paraId="230B217A" w14:textId="77777777" w:rsidR="005630C4" w:rsidRPr="000D188C" w:rsidRDefault="005630C4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</w:p>
    <w:p w14:paraId="7D101989" w14:textId="78442AB0" w:rsidR="00CD6421" w:rsidRPr="000D188C" w:rsidRDefault="00B91E17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II</w:t>
      </w:r>
      <w:r w:rsidR="00CD6421" w:rsidRPr="000D188C">
        <w:rPr>
          <w:rFonts w:ascii="Arial" w:hAnsi="Arial" w:cs="Arial"/>
          <w:b/>
          <w:lang w:val="bs-Latn-BA"/>
        </w:rPr>
        <w:t xml:space="preserve">. </w:t>
      </w:r>
      <w:r w:rsidR="00637A2D">
        <w:rPr>
          <w:rFonts w:ascii="Arial" w:hAnsi="Arial" w:cs="Arial"/>
          <w:b/>
          <w:lang w:val="bs-Latn-BA"/>
        </w:rPr>
        <w:t>Посебни</w:t>
      </w:r>
      <w:r w:rsidR="00CD6421" w:rsidRPr="000D188C">
        <w:rPr>
          <w:rFonts w:ascii="Arial" w:hAnsi="Arial" w:cs="Arial"/>
          <w:b/>
          <w:lang w:val="bs-Latn-BA"/>
        </w:rPr>
        <w:t xml:space="preserve"> </w:t>
      </w:r>
      <w:r w:rsidR="00637A2D">
        <w:rPr>
          <w:rFonts w:ascii="Arial" w:hAnsi="Arial" w:cs="Arial"/>
          <w:b/>
          <w:lang w:val="bs-Latn-BA"/>
        </w:rPr>
        <w:t>критерији</w:t>
      </w:r>
    </w:p>
    <w:p w14:paraId="6DB0A343" w14:textId="77777777" w:rsidR="00CD6421" w:rsidRPr="000D188C" w:rsidRDefault="00CD6421" w:rsidP="004A4A37">
      <w:pPr>
        <w:pStyle w:val="Default"/>
        <w:jc w:val="both"/>
        <w:rPr>
          <w:rFonts w:ascii="Arial" w:hAnsi="Arial" w:cs="Arial"/>
          <w:b/>
          <w:lang w:val="bs-Latn-BA"/>
        </w:rPr>
      </w:pPr>
    </w:p>
    <w:p w14:paraId="2C744358" w14:textId="163DF16F" w:rsidR="00CD6421" w:rsidRPr="000D188C" w:rsidRDefault="00637A2D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Федерално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министарство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образовања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науке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је</w:t>
      </w:r>
      <w:r w:rsidR="00CD6421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складу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чланом</w:t>
      </w:r>
      <w:r w:rsidR="00CD6421" w:rsidRPr="000D188C">
        <w:rPr>
          <w:rFonts w:ascii="Arial" w:hAnsi="Arial" w:cs="Arial"/>
          <w:szCs w:val="24"/>
          <w:lang w:val="bs-Latn-BA"/>
        </w:rPr>
        <w:t xml:space="preserve"> 3. </w:t>
      </w:r>
      <w:r>
        <w:rPr>
          <w:rFonts w:ascii="Arial" w:hAnsi="Arial" w:cs="Arial"/>
          <w:szCs w:val="24"/>
          <w:lang w:val="bs-Latn-BA"/>
        </w:rPr>
        <w:t>Уредбе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критеријима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утврђивање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корисника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начину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расподјеле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дијела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прихода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остварених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по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накнада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приређивање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игара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срећу</w:t>
      </w:r>
      <w:r w:rsidR="001A7344" w:rsidRPr="00080FF7">
        <w:rPr>
          <w:rFonts w:ascii="Arial" w:hAnsi="Arial" w:cs="Arial"/>
          <w:szCs w:val="24"/>
          <w:lang w:val="bs-Latn-BA"/>
        </w:rPr>
        <w:t xml:space="preserve"> 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Службене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новине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Федерације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БиХ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бр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. 89/15, 11/17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и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87/22)</w:t>
      </w:r>
      <w:r w:rsidR="00CD6421" w:rsidRPr="00080FF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утврдило</w:t>
      </w:r>
      <w:r w:rsidR="00CD6421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посебне</w:t>
      </w:r>
      <w:r w:rsidR="00CD6421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критерије</w:t>
      </w:r>
      <w:r w:rsidR="00CD6421" w:rsidRPr="00080FF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који</w:t>
      </w:r>
      <w:r w:rsidR="00CD6421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ће</w:t>
      </w:r>
      <w:r w:rsidR="00E61617" w:rsidRPr="00080FF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заједно</w:t>
      </w:r>
      <w:r w:rsidR="00E61617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са</w:t>
      </w:r>
      <w:r w:rsidR="00E61617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оп</w:t>
      </w:r>
      <w:r w:rsidR="00B91E17" w:rsidRPr="00B91E17">
        <w:rPr>
          <w:rFonts w:ascii="Arial" w:hAnsi="Arial" w:cs="Arial"/>
          <w:szCs w:val="24"/>
          <w:lang w:val="bs-Latn-BA"/>
        </w:rPr>
        <w:t>шт</w:t>
      </w:r>
      <w:r>
        <w:rPr>
          <w:rFonts w:ascii="Arial" w:hAnsi="Arial" w:cs="Arial"/>
          <w:szCs w:val="24"/>
          <w:lang w:val="bs-Latn-BA"/>
        </w:rPr>
        <w:t>им</w:t>
      </w:r>
      <w:r w:rsidR="00E61617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критеријима</w:t>
      </w:r>
      <w:r w:rsidR="00E61617" w:rsidRPr="00080FF7">
        <w:rPr>
          <w:rFonts w:ascii="Arial" w:hAnsi="Arial" w:cs="Arial"/>
          <w:szCs w:val="24"/>
          <w:lang w:val="bs-Latn-BA"/>
        </w:rPr>
        <w:t>,</w:t>
      </w:r>
      <w:r w:rsidR="007F0962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бити</w:t>
      </w:r>
      <w:r w:rsidR="007F0962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основа</w:t>
      </w:r>
      <w:r w:rsidR="007F0962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7F0962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оцјену</w:t>
      </w:r>
      <w:r w:rsidR="00CD6421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израду</w:t>
      </w:r>
      <w:r w:rsidR="00CD6421" w:rsidRPr="00080FF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приједлога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расподјеле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кандидованих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пројеката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програма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области</w:t>
      </w:r>
      <w:r w:rsidR="00C93AC0" w:rsidRPr="000D188C">
        <w:rPr>
          <w:rFonts w:ascii="Arial" w:hAnsi="Arial" w:cs="Arial"/>
          <w:szCs w:val="24"/>
          <w:lang w:val="bs-Latn-BA"/>
        </w:rPr>
        <w:t xml:space="preserve"> </w:t>
      </w:r>
      <w:r w:rsidR="00171DF8" w:rsidRPr="000D188C">
        <w:rPr>
          <w:rFonts w:ascii="Arial" w:hAnsi="Arial" w:cs="Arial"/>
          <w:szCs w:val="24"/>
          <w:lang w:val="bs-Latn-BA"/>
        </w:rPr>
        <w:t xml:space="preserve"> </w:t>
      </w:r>
      <w:r w:rsidR="00C93AC0" w:rsidRPr="000D188C">
        <w:rPr>
          <w:rFonts w:ascii="Arial" w:hAnsi="Arial" w:cs="Arial"/>
          <w:szCs w:val="24"/>
          <w:lang w:val="bs-Latn-BA"/>
        </w:rPr>
        <w:t>„</w:t>
      </w:r>
      <w:r>
        <w:rPr>
          <w:rFonts w:ascii="Arial" w:hAnsi="Arial" w:cs="Arial"/>
          <w:szCs w:val="24"/>
          <w:lang w:val="bs-Latn-BA"/>
        </w:rPr>
        <w:t>заштита</w:t>
      </w:r>
      <w:r w:rsidR="00666795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права</w:t>
      </w:r>
      <w:r w:rsidR="00666795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дјетета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која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жртве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злостављања</w:t>
      </w:r>
      <w:r w:rsidR="00C93AC0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педофилије</w:t>
      </w:r>
      <w:r w:rsidR="00C93AC0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просјачења</w:t>
      </w:r>
      <w:r w:rsidR="00C93AC0" w:rsidRPr="000D188C">
        <w:rPr>
          <w:rFonts w:ascii="Arial" w:hAnsi="Arial" w:cs="Arial"/>
          <w:szCs w:val="24"/>
          <w:lang w:val="bs-Latn-BA"/>
        </w:rPr>
        <w:t xml:space="preserve">“ </w:t>
      </w:r>
      <w:r>
        <w:rPr>
          <w:rFonts w:ascii="Arial" w:hAnsi="Arial" w:cs="Arial"/>
          <w:szCs w:val="24"/>
          <w:lang w:val="bs-Latn-BA"/>
        </w:rPr>
        <w:t>и</w:t>
      </w:r>
      <w:r w:rsidR="00C93AC0" w:rsidRPr="000D188C">
        <w:rPr>
          <w:rFonts w:ascii="Arial" w:hAnsi="Arial" w:cs="Arial"/>
          <w:szCs w:val="24"/>
          <w:lang w:val="bs-Latn-BA"/>
        </w:rPr>
        <w:t xml:space="preserve"> „</w:t>
      </w:r>
      <w:r>
        <w:rPr>
          <w:rFonts w:ascii="Arial" w:hAnsi="Arial" w:cs="Arial"/>
          <w:szCs w:val="24"/>
          <w:lang w:val="bs-Latn-BA"/>
        </w:rPr>
        <w:t>учествовање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лијечењу</w:t>
      </w:r>
      <w:r w:rsidR="00CD6421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превенцији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борби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против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овисности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дроги</w:t>
      </w:r>
      <w:r w:rsidR="00CD6421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алкохолу</w:t>
      </w:r>
      <w:r w:rsidR="00CD6421" w:rsidRPr="000D188C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играма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срећу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CD6421" w:rsidRPr="000D188C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коцки</w:t>
      </w:r>
      <w:r w:rsidR="00CD6421" w:rsidRPr="000D188C">
        <w:rPr>
          <w:rFonts w:ascii="Arial" w:hAnsi="Arial" w:cs="Arial"/>
          <w:szCs w:val="24"/>
          <w:lang w:val="bs-Latn-BA"/>
        </w:rPr>
        <w:t>“:</w:t>
      </w:r>
    </w:p>
    <w:p w14:paraId="03484025" w14:textId="77777777" w:rsidR="00171DF8" w:rsidRPr="000D188C" w:rsidRDefault="00171DF8" w:rsidP="004A4A37">
      <w:pPr>
        <w:pStyle w:val="ListParagraph"/>
        <w:overflowPunct w:val="0"/>
        <w:autoSpaceDE w:val="0"/>
        <w:autoSpaceDN w:val="0"/>
        <w:adjustRightInd w:val="0"/>
        <w:ind w:left="-567"/>
        <w:contextualSpacing w:val="0"/>
        <w:jc w:val="both"/>
        <w:rPr>
          <w:rFonts w:ascii="Arial" w:hAnsi="Arial" w:cs="Arial"/>
          <w:b/>
          <w:lang w:val="bs-Latn-BA"/>
        </w:rPr>
      </w:pPr>
    </w:p>
    <w:p w14:paraId="1E1D619B" w14:textId="53DC44C3" w:rsidR="001A7344" w:rsidRPr="001A7344" w:rsidRDefault="00637A2D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Посебни</w:t>
      </w:r>
      <w:r w:rsidR="001A7344" w:rsidRPr="001A7344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критерији</w:t>
      </w:r>
      <w:r w:rsidR="001A7344" w:rsidRPr="001A7344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за</w:t>
      </w:r>
      <w:r w:rsidR="001A7344" w:rsidRPr="001A7344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:</w:t>
      </w:r>
    </w:p>
    <w:p w14:paraId="68362CF5" w14:textId="00EAF03C" w:rsidR="001A7344" w:rsidRPr="001A7344" w:rsidRDefault="00637A2D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заштита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права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дјетета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која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су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жртве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злостављања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педофилије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просјачења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:</w:t>
      </w:r>
    </w:p>
    <w:p w14:paraId="01678EF2" w14:textId="5D84A5BE" w:rsidR="001A7344" w:rsidRPr="000B1C2A" w:rsidRDefault="00637A2D" w:rsidP="000B1C2A">
      <w:pPr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4" w:name="_Hlk158374776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Предложени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имају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специфичан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одговоран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приступ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методологију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рада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дјецом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жртве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злостављања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педофилије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просјачења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5" w:name="_Hlk158275361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6" w:name="_Hlk158375021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испуњеност</w:t>
      </w:r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овог</w:t>
      </w:r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критерија</w:t>
      </w:r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End w:id="6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попуњава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A5621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ако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3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5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бодова</w:t>
      </w:r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4"/>
    <w:bookmarkEnd w:id="5"/>
    <w:p w14:paraId="7CE38884" w14:textId="4BBAC139" w:rsidR="001A7344" w:rsidRPr="000E7C27" w:rsidRDefault="00637A2D" w:rsidP="00601A3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Посједовање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ангажовање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стручних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кадровских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капацитета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стручним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особљем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мисли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социјалне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раднике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љекаре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психологе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социјалне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педагоге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друго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стручно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особље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које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ради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овом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пројекту</w:t>
      </w:r>
      <w:r w:rsidR="001A7344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D31218" w:rsidRPr="000E7C27"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  <w:t xml:space="preserve">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601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601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Ако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испуњен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0E7C27" w:rsidRPr="000E7C27"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1A7344" w:rsidRPr="000E7C27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;</w:t>
      </w:r>
    </w:p>
    <w:p w14:paraId="3FF92F68" w14:textId="1E322529" w:rsidR="001A7344" w:rsidRPr="001A7344" w:rsidRDefault="00637A2D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иновативан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потенцијал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попунити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празнину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постојећим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праксама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пружања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услуга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коју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</w:t>
      </w:r>
      <w:r w:rsidR="001A7344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припремљен</w:t>
      </w:r>
      <w:r w:rsidR="009614B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5F146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попуњава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FA6AC6" w:rsidRP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Захтјева</w:t>
      </w:r>
      <w:r w:rsidR="00FA6AC6" w:rsidRP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и</w:t>
      </w:r>
      <w:r w:rsid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1D4E5F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2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B3772"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9C8D1C" w14:textId="04C86087" w:rsidR="001A7344" w:rsidRPr="000E7C27" w:rsidRDefault="00637A2D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Приједлог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препознаје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одражава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релевантно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искуство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анализе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истраживање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којој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припремљен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5F146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попуњава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71DE4D53" w14:textId="630AECF3" w:rsidR="001A7344" w:rsidRPr="000E7C27" w:rsidRDefault="00637A2D" w:rsidP="001A734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Прецизно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дефинисане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циљне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групе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bookmarkStart w:id="7" w:name="_Hlk158275457"/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прецизно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дефинисане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циљне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групе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r w:rsidR="001A7344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7"/>
    <w:p w14:paraId="3310DD2B" w14:textId="480A2906" w:rsidR="001A7344" w:rsidRPr="00B53971" w:rsidRDefault="00637A2D" w:rsidP="00B53971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Регистровани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обављање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дјелатности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чије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предлаже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рјешењу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регистрацији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статуту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имају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мисију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циљеве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обављање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дјелатности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чије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предлаже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) </w:t>
      </w:r>
      <w:bookmarkStart w:id="8" w:name="_Hlk158277682"/>
      <w:bookmarkStart w:id="9" w:name="_Hlk158275493"/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10" w:name="_Hlk158381537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B53971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-</w:t>
      </w:r>
      <w:r w:rsidR="00B53971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7F340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5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бодова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7F340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7F340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</w:t>
      </w:r>
      <w:bookmarkEnd w:id="10"/>
      <w:r w:rsidR="007F340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члана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3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став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5D53AE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утврђивање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начину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расподјеле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дијела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прихода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остварених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накнада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приређивање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игара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срећу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(„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Службене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новине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Федерације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БиХ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89/15, 11/17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87/22) </w:t>
      </w:r>
      <w:r>
        <w:rPr>
          <w:rFonts w:ascii="Arial" w:hAnsi="Arial" w:cs="Arial"/>
        </w:rPr>
        <w:t>који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гласи</w:t>
      </w:r>
      <w:r w:rsidR="00F46663" w:rsidRPr="00B53971">
        <w:rPr>
          <w:rFonts w:ascii="Arial" w:hAnsi="Arial" w:cs="Arial"/>
        </w:rPr>
        <w:t>: „</w:t>
      </w:r>
      <w:r>
        <w:rPr>
          <w:rFonts w:ascii="Arial" w:hAnsi="Arial" w:cs="Arial"/>
        </w:rPr>
        <w:t>Посебним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критеријима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става</w:t>
      </w:r>
      <w:r w:rsidR="00F46663" w:rsidRPr="00B53971">
        <w:rPr>
          <w:rFonts w:ascii="Arial" w:hAnsi="Arial" w:cs="Arial"/>
        </w:rPr>
        <w:t xml:space="preserve"> (1) </w:t>
      </w:r>
      <w:r>
        <w:rPr>
          <w:rFonts w:ascii="Arial" w:hAnsi="Arial" w:cs="Arial"/>
        </w:rPr>
        <w:t>овог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="00F46663" w:rsidRPr="00B539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надлежна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министарства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прописати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приликом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бодовања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израде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ранг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</w:t>
      </w:r>
      <w:r w:rsidR="00F46663" w:rsidRPr="00B53971">
        <w:rPr>
          <w:rFonts w:ascii="Arial" w:hAnsi="Arial" w:cs="Arial"/>
        </w:rPr>
        <w:t xml:space="preserve">. 9 </w:t>
      </w:r>
      <w:r>
        <w:rPr>
          <w:rFonts w:ascii="Arial" w:hAnsi="Arial" w:cs="Arial"/>
        </w:rPr>
        <w:t>ове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уредбе</w:t>
      </w:r>
      <w:r w:rsidR="00F46663" w:rsidRPr="00B53971"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предност</w:t>
      </w:r>
      <w:r w:rsidR="00F46663" w:rsidRPr="00B539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имати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предложени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средстава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регистр</w:t>
      </w:r>
      <w:r w:rsidR="005F1462">
        <w:rPr>
          <w:rFonts w:ascii="Arial" w:hAnsi="Arial" w:cs="Arial"/>
        </w:rPr>
        <w:t>ов</w:t>
      </w:r>
      <w:r>
        <w:rPr>
          <w:rFonts w:ascii="Arial" w:hAnsi="Arial" w:cs="Arial"/>
        </w:rPr>
        <w:t>ани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обављање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дјелатности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чије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финансирање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предлаже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расписаним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јавним</w:t>
      </w:r>
      <w:r w:rsidR="00F46663" w:rsidRPr="00B53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конкурсом</w:t>
      </w:r>
      <w:r w:rsidR="00F46663" w:rsidRPr="00B53971">
        <w:rPr>
          <w:rFonts w:ascii="Arial" w:hAnsi="Arial" w:cs="Arial"/>
        </w:rPr>
        <w:t>“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8"/>
    </w:p>
    <w:p w14:paraId="2901931D" w14:textId="550721FA" w:rsidR="001A7344" w:rsidRPr="00C54869" w:rsidRDefault="00637A2D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11" w:name="_Hlk158277721"/>
      <w:bookmarkStart w:id="12" w:name="_Hlk158203053"/>
      <w:bookmarkEnd w:id="9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Пројектни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приједлог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одређује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достижне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мјерљиве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циљеве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реалном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временском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оквиру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3" w:name="_Hlk158275635"/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13"/>
    </w:p>
    <w:p w14:paraId="3C7586DE" w14:textId="0DAF475E" w:rsidR="001A7344" w:rsidRPr="00C54869" w:rsidRDefault="00637A2D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Резултати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исходи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утицаји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јасно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дефинисани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4" w:name="_Hlk158275704"/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Start w:id="15" w:name="_Hlk158375585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bookmarkEnd w:id="15"/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bookmarkEnd w:id="14"/>
    <w:p w14:paraId="03C3C97F" w14:textId="1851A8EF" w:rsidR="001A7344" w:rsidRPr="00C54869" w:rsidRDefault="00637A2D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Мониторинг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евалуација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јасно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описани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Start w:id="16" w:name="_Hlk158376001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bookmarkEnd w:id="16"/>
      <w:r w:rsidR="001A7344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).</w:t>
      </w:r>
    </w:p>
    <w:bookmarkEnd w:id="11"/>
    <w:bookmarkEnd w:id="12"/>
    <w:p w14:paraId="1FCAD865" w14:textId="77777777" w:rsidR="001A7344" w:rsidRPr="001A7344" w:rsidRDefault="001A7344" w:rsidP="00FA5871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43DC59EE" w14:textId="31BB88AA" w:rsidR="001A7344" w:rsidRPr="001A7344" w:rsidRDefault="00637A2D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учествовање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у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лијечењу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превенцији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и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борби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против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овисности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о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дроги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алкохолу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играма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на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срећу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и</w:t>
      </w:r>
      <w:r w:rsidR="001A7344"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коцки</w:t>
      </w:r>
    </w:p>
    <w:p w14:paraId="7772E4FC" w14:textId="2EC4F859" w:rsidR="001A7344" w:rsidRPr="000952B0" w:rsidRDefault="00637A2D" w:rsidP="0049533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Пројектни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приједлози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фокусирани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превенцију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употребе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супстанци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превенцију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овисничких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понашања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заснованих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доказима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процјењује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тога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колико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пројектне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активности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складу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врстама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интервенција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политика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утврђено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853CA" w:rsidRPr="006853C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ефикасн</w:t>
      </w:r>
      <w:r w:rsidR="006853C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спрјечавању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употребе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супстанци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доступних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научних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доказа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као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што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Међународним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стандардима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превенцију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употребе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дрога</w:t>
      </w:r>
      <w:r w:rsidR="001A7344"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1"/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Европским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стандардима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квалитетну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превенцију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употребе</w:t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дрога</w:t>
      </w:r>
      <w:r w:rsidR="001A7344"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2"/>
      </w:r>
      <w:r w:rsidR="001A7344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bookmarkStart w:id="17" w:name="_Hlk158381573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испуњеност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овог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критерија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утврђује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562E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- 5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бодова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то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:</w:t>
      </w:r>
      <w:r w:rsidR="000952B0"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C54869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бодова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562E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</w:t>
      </w:r>
      <w:bookmarkEnd w:id="17"/>
      <w:r w:rsidR="006562E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ва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407E83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65A37BB7" w14:textId="0FCA8CC1" w:rsidR="00A41482" w:rsidRPr="005D53AE" w:rsidRDefault="00637A2D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Посједовање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ангажовање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стручних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кадровских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капацитета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стручним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особљем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мисли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социјалне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раднике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љекаре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психологе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социјалне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педагоге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друго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особље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ради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испуњен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3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A41482"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4BCDF5D8" w14:textId="688676DE" w:rsidR="00A41482" w:rsidRPr="005D53AE" w:rsidRDefault="00637A2D" w:rsidP="00AA4FA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иновативан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потенцијал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попунити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празнину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постојећим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праксама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пружања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услуга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припремљен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попуњава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A41482"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375D3B8E" w14:textId="098B09AE" w:rsidR="00A41482" w:rsidRPr="005D53AE" w:rsidRDefault="00637A2D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Приједлог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препознаје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одражава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релевантно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искуство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анализе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истраживање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којој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припремљен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попуњава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распону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оцјењивање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пратећем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0EC2997F" w14:textId="4A274361" w:rsidR="00A41482" w:rsidRPr="005D53AE" w:rsidRDefault="00637A2D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Прецизно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дефинисане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групе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прецизно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дефинисане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групе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6D59B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7C7B410F" w14:textId="5AA431F0" w:rsidR="00DC28A8" w:rsidRPr="00B53971" w:rsidRDefault="00637A2D" w:rsidP="00DC28A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Регистровани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обављање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дјелатности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чије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предлаже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рјешењу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регистрацији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статуту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имају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јасну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мисију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циљеве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обављање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дјелатности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чије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предлаже</w:t>
      </w:r>
      <w:r w:rsidR="00DC28A8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) 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CB537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бодова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CB537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бодује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CB537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</w:t>
      </w:r>
      <w:r w:rsidR="00CB537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члана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3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став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утврђивање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начину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расподјеле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дијела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прихода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остварених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накнада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приређивање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игара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срећу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(„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Службене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новине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Федерације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БиХ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89/15, 11/17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87/22)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гласи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: „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Посебним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става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(1)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овог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члана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надлежна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прописати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приликом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бодовања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израде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ранг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листе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чл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9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 w:eastAsia="en-US"/>
          <w14:ligatures w14:val="standardContextual"/>
        </w:rPr>
        <w:t>предност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имати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предложени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стране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регистр</w:t>
      </w:r>
      <w:r w:rsidR="00D5755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ани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обављање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дјелатности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чије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предлаже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расписаним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јавним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конкурсом</w:t>
      </w:r>
      <w:r w:rsidR="00DC28A8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“</w:t>
      </w:r>
      <w:r w:rsidR="00DC28A8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B81E43" w14:textId="52700E9F" w:rsidR="00A41482" w:rsidRPr="005D53AE" w:rsidRDefault="00637A2D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Пројектни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приједлог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одређује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достижне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мјерљиве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циљеве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реалном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временском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оквиру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563D7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136DDE56" w14:textId="2F15C78B" w:rsidR="00A41482" w:rsidRPr="005D53AE" w:rsidRDefault="00637A2D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Резултати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исходи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утицаји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дефинисани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8273C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A718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78F75597" w14:textId="2FEDCBFE" w:rsidR="00A41482" w:rsidRPr="005D53AE" w:rsidRDefault="00637A2D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Мониторинг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евалуација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описани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елиминаторан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утврђиват</w:t>
      </w:r>
      <w:r w:rsidR="00563D7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обрасца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задовољен</w:t>
      </w:r>
      <w:r w:rsidR="00D9550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елиминише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оцјењује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даље</w:t>
      </w:r>
      <w:r w:rsidR="00A41482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).</w:t>
      </w:r>
    </w:p>
    <w:p w14:paraId="439B8594" w14:textId="77777777" w:rsidR="00A41482" w:rsidRPr="00A41482" w:rsidRDefault="00A41482" w:rsidP="00A41482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2A68E647" w14:textId="401FED8C" w:rsidR="00BA247F" w:rsidRPr="00B000D7" w:rsidRDefault="00637A2D" w:rsidP="00DC28A8">
      <w:pPr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Пројекти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буду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предложени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стране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Федералног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министарства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образовања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науке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подржат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ће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складу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финансијским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могућностима</w:t>
      </w:r>
      <w:r w:rsidR="001A7344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односно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максималном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износу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10.000,00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КМ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кориснику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„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заштита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права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дјетета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која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су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жртве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злостављања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педофилије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просјачења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до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20.000,00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КМ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по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кориснику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за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програм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„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учествовање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у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лијечењу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превенцији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борби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против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овисности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о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дроги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алкохолу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играма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на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срећу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коцки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“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</w:t>
      </w:r>
    </w:p>
    <w:p w14:paraId="521711E8" w14:textId="77777777" w:rsidR="0047062B" w:rsidRPr="00B000D7" w:rsidRDefault="0047062B" w:rsidP="001A7344">
      <w:pPr>
        <w:jc w:val="both"/>
        <w:rPr>
          <w:rFonts w:ascii="Arial" w:hAnsi="Arial" w:cs="Arial"/>
          <w:szCs w:val="24"/>
          <w:lang w:val="bs-Latn-BA"/>
        </w:rPr>
      </w:pPr>
    </w:p>
    <w:p w14:paraId="5A16C0C7" w14:textId="390E5396" w:rsidR="00C4626E" w:rsidRPr="00B000D7" w:rsidRDefault="00637A2D" w:rsidP="000056D2">
      <w:pPr>
        <w:ind w:left="-567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Расподјела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расположивих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средстава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дијела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прихода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остварених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Буџету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Федерације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Босне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Херцеговине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по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основу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накнада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приређивање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игара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11295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срећу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по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пројектима</w:t>
      </w:r>
      <w:r w:rsidR="0047062B" w:rsidRPr="00B000D7">
        <w:rPr>
          <w:rFonts w:ascii="Arial" w:hAnsi="Arial" w:cs="Arial"/>
          <w:szCs w:val="24"/>
          <w:lang w:val="bs-Latn-BA"/>
        </w:rPr>
        <w:t xml:space="preserve"> „</w:t>
      </w:r>
      <w:r>
        <w:rPr>
          <w:rFonts w:ascii="Arial" w:hAnsi="Arial" w:cs="Arial"/>
          <w:szCs w:val="24"/>
          <w:lang w:val="bs-Latn-BA"/>
        </w:rPr>
        <w:t>заштита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права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дјетета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која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жртве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злостављања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педофилије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просјачења</w:t>
      </w:r>
      <w:r w:rsidR="0047062B" w:rsidRPr="00B000D7">
        <w:rPr>
          <w:rFonts w:ascii="Arial" w:hAnsi="Arial" w:cs="Arial"/>
          <w:szCs w:val="24"/>
          <w:lang w:val="bs-Latn-BA"/>
        </w:rPr>
        <w:t xml:space="preserve">“ </w:t>
      </w:r>
      <w:r>
        <w:rPr>
          <w:rFonts w:ascii="Arial" w:hAnsi="Arial" w:cs="Arial"/>
          <w:szCs w:val="24"/>
          <w:lang w:val="bs-Latn-BA"/>
        </w:rPr>
        <w:t>и</w:t>
      </w:r>
      <w:r w:rsidR="0047062B" w:rsidRPr="00B000D7">
        <w:rPr>
          <w:rFonts w:ascii="Arial" w:hAnsi="Arial" w:cs="Arial"/>
          <w:szCs w:val="24"/>
          <w:lang w:val="bs-Latn-BA"/>
        </w:rPr>
        <w:t xml:space="preserve"> „</w:t>
      </w:r>
      <w:r>
        <w:rPr>
          <w:rFonts w:ascii="Arial" w:hAnsi="Arial" w:cs="Arial"/>
          <w:szCs w:val="24"/>
          <w:lang w:val="bs-Latn-BA"/>
        </w:rPr>
        <w:t>учествовање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лијечењу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превенцији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борби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против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овисности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дроги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алкохолу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играма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срећу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коцки</w:t>
      </w:r>
      <w:r w:rsidR="0047062B" w:rsidRPr="00B000D7">
        <w:rPr>
          <w:rFonts w:ascii="Arial" w:hAnsi="Arial" w:cs="Arial"/>
          <w:szCs w:val="24"/>
          <w:lang w:val="bs-Latn-BA"/>
        </w:rPr>
        <w:t xml:space="preserve">“ </w:t>
      </w:r>
      <w:r>
        <w:rPr>
          <w:rFonts w:ascii="Arial" w:hAnsi="Arial" w:cs="Arial"/>
          <w:szCs w:val="24"/>
          <w:lang w:val="bs-Latn-BA"/>
        </w:rPr>
        <w:t>врш</w:t>
      </w:r>
      <w:r w:rsidR="00563D7E">
        <w:rPr>
          <w:rFonts w:ascii="Arial" w:hAnsi="Arial" w:cs="Arial"/>
          <w:szCs w:val="24"/>
          <w:lang w:val="bs-Latn-BA"/>
        </w:rPr>
        <w:t>и</w:t>
      </w:r>
      <w:r>
        <w:rPr>
          <w:rFonts w:ascii="Arial" w:hAnsi="Arial" w:cs="Arial"/>
          <w:szCs w:val="24"/>
          <w:lang w:val="bs-Latn-BA"/>
        </w:rPr>
        <w:t>ће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броја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приспјелих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захтјева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Јавни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конкурс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односно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броја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захтјева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који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испуњавају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прописане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критерије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оба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програма</w:t>
      </w:r>
      <w:r w:rsidR="0047062B" w:rsidRPr="00B000D7">
        <w:rPr>
          <w:rFonts w:ascii="Arial" w:hAnsi="Arial" w:cs="Arial"/>
          <w:szCs w:val="24"/>
          <w:lang w:val="bs-Latn-BA"/>
        </w:rPr>
        <w:t xml:space="preserve">, </w:t>
      </w:r>
      <w:r>
        <w:rPr>
          <w:rFonts w:ascii="Arial" w:hAnsi="Arial" w:cs="Arial"/>
          <w:szCs w:val="24"/>
          <w:lang w:val="bs-Latn-BA"/>
        </w:rPr>
        <w:t>те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ће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припадајући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износ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средстава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програме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одредити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пропорционално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односу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број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достављених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захтјева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Јавни</w:t>
      </w:r>
      <w:r w:rsidR="007032D6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конкурс</w:t>
      </w:r>
      <w:r w:rsidR="0047062B" w:rsidRPr="00B000D7">
        <w:rPr>
          <w:rFonts w:ascii="Arial" w:hAnsi="Arial" w:cs="Arial"/>
          <w:szCs w:val="24"/>
          <w:lang w:val="bs-Latn-BA"/>
        </w:rPr>
        <w:t>.</w:t>
      </w:r>
    </w:p>
    <w:p w14:paraId="35EE87C8" w14:textId="52A5F947" w:rsidR="00CD6421" w:rsidRPr="00B000D7" w:rsidRDefault="008273CC" w:rsidP="0012210D">
      <w:pPr>
        <w:spacing w:before="240"/>
        <w:ind w:left="-567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b/>
          <w:szCs w:val="24"/>
          <w:lang w:val="bs-Latn-BA"/>
        </w:rPr>
        <w:t>III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. </w:t>
      </w:r>
      <w:r w:rsidR="00637A2D">
        <w:rPr>
          <w:rFonts w:ascii="Arial" w:hAnsi="Arial" w:cs="Arial"/>
          <w:b/>
          <w:szCs w:val="24"/>
          <w:lang w:val="bs-Latn-BA"/>
        </w:rPr>
        <w:t>Потребна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документација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за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подношење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Захтјева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за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додјелу</w:t>
      </w:r>
      <w:r w:rsidR="00CD6421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средстава</w:t>
      </w:r>
    </w:p>
    <w:p w14:paraId="1ADBD64E" w14:textId="77777777" w:rsidR="002865B9" w:rsidRPr="00B000D7" w:rsidRDefault="002865B9" w:rsidP="008C5F08">
      <w:pPr>
        <w:jc w:val="both"/>
        <w:rPr>
          <w:rFonts w:ascii="Arial" w:hAnsi="Arial" w:cs="Arial"/>
          <w:szCs w:val="24"/>
          <w:lang w:val="bs-Latn-BA"/>
        </w:rPr>
      </w:pPr>
    </w:p>
    <w:p w14:paraId="00BEF1EB" w14:textId="2EBD4CD4" w:rsidR="009614B2" w:rsidRPr="00B000D7" w:rsidRDefault="00637A2D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Удружења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грађана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хуманитарне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организације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као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носиоци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подносе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Федералном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министарству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образовања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науке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додјелу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Образац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додјелу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се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преузима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w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е</w:t>
      </w:r>
      <w:r w:rsidR="008B044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странице</w:t>
      </w:r>
      <w:r w:rsidR="009614B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Министарства</w:t>
      </w:r>
      <w:r w:rsidR="008B044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9614B2" w:rsidRPr="00B000D7">
        <w:rPr>
          <w:rFonts w:ascii="Arial" w:eastAsia="Calibri" w:hAnsi="Arial" w:cs="Arial"/>
          <w:b/>
          <w:bCs/>
          <w:color w:val="0563C1"/>
          <w:kern w:val="2"/>
          <w:szCs w:val="24"/>
          <w:u w:val="single"/>
          <w:lang w:val="hr-BA" w:eastAsia="en-US"/>
          <w14:ligatures w14:val="standardContextual"/>
        </w:rPr>
        <w:t>www.</w:t>
      </w:r>
      <w:r w:rsidR="008B0448">
        <w:rPr>
          <w:rFonts w:ascii="Arial" w:eastAsia="Calibri" w:hAnsi="Arial" w:cs="Arial"/>
          <w:b/>
          <w:bCs/>
          <w:color w:val="0563C1"/>
          <w:kern w:val="2"/>
          <w:szCs w:val="24"/>
          <w:u w:val="single"/>
          <w:lang w:val="hr-BA" w:eastAsia="en-US"/>
          <w14:ligatures w14:val="standardContextual"/>
        </w:rPr>
        <w:t>fmon.gov.ba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.</w:t>
      </w:r>
    </w:p>
    <w:p w14:paraId="38537F57" w14:textId="72222883" w:rsidR="009614B2" w:rsidRPr="00B000D7" w:rsidRDefault="00637A2D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Образац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Захтјева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за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додјелу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средстава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мора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бити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 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јасно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и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у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потпуности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попуњен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те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овјерен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печатом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и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потписан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од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стране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овлаштене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особе</w:t>
      </w:r>
      <w:r w:rsidR="009614B2"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.</w:t>
      </w:r>
    </w:p>
    <w:p w14:paraId="76490492" w14:textId="093350F0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 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Уз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додјелу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подносилац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дужан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приложити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37A2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: </w:t>
      </w:r>
    </w:p>
    <w:p w14:paraId="3D595EE4" w14:textId="7E3676C6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извод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регистра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надлежног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правде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старији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три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мјесеца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оригинал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копија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оригинала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289A15FD" w14:textId="7A760037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доказе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реализованим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пројектима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листа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реализованих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потписана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стране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овлаштеног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лица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печатом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удружења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хуманитарне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организације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3A4A577D" w14:textId="01CE30FF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препорука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стручњака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писана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препорука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стручњака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приложена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копија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дипломе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 w:rsidR="00EA707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CV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потврда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искуству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релевантној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)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надлежне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институције</w:t>
      </w:r>
      <w:r w:rsidR="00EB0F19" w:rsidRPr="00EB0F19">
        <w:t xml:space="preserve"> </w:t>
      </w:r>
      <w:r w:rsidR="00EB0F19">
        <w:t>(</w:t>
      </w:r>
      <w:r w:rsidR="00EB0F19" w:rsidRPr="00EB0F1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 које не спадају удружења грађана и хуманитарне организације</w:t>
      </w:r>
      <w:r w:rsidR="00EB0F1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510B2250" w14:textId="5E93F829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финансијски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план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доказ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учешћу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властитих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предметног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333030FA" w14:textId="136F8ED4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изјава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броју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позитивних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извјештаја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ранијег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периода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додијељена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складу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6B0CE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редбом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контакт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податке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институција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финансирале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набројане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правни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субјекти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тек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основани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обавези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доставити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изјаву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AD3BF76" w14:textId="442E9094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овјерена</w:t>
      </w:r>
      <w:r w:rsidR="00AA756A" w:rsidRPr="00E17A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изјава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пуном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материјалном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кривичном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одговорношћу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одговорно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лице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потврђује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аплицирао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истим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других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надлежних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текућој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календарској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изјаву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оп</w:t>
      </w:r>
      <w:r w:rsidR="00EA707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шти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градској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управи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нотара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изјаву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написати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меморандуму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удружења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обавезни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потпис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овлаштеног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лица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печат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удружења</w:t>
      </w:r>
      <w:r w:rsidR="000056D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0056D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хуманитарне</w:t>
      </w:r>
      <w:r w:rsidR="000056D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организације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0864E724" w14:textId="2077F397" w:rsidR="00AA756A" w:rsidRPr="00B000D7" w:rsidRDefault="00637A2D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доказ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одговорно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лице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осуђивано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кривична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осим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кривична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дјела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области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саобраћаја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увјерење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МУП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смије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старије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шест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мјесеци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2203F851" w14:textId="2F962108" w:rsidR="00AA756A" w:rsidRDefault="00637A2D" w:rsidP="00A733F0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посљедњи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годишњи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обрачун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финансијском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пословању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предат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Финансијско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информатичкој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агенцији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оригинал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копија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оригинала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).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Ако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апликант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основан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дужан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доставити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наведени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обрачун</w:t>
      </w:r>
      <w:r w:rsidR="00A733F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27D64827" w14:textId="6D1C405B" w:rsidR="00A733F0" w:rsidRDefault="00A733F0" w:rsidP="00A733F0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A733F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увјерење о пореској регистрацији - идентификациони број;</w:t>
      </w:r>
    </w:p>
    <w:p w14:paraId="2FFB5F8F" w14:textId="721C6179" w:rsidR="00A733F0" w:rsidRPr="00A733F0" w:rsidRDefault="00A733F0" w:rsidP="00A733F0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A733F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уговор с банком или потврда од банке из које се види ко је власник наведеног рачуна.</w:t>
      </w:r>
    </w:p>
    <w:p w14:paraId="53090F44" w14:textId="6CE34C4C" w:rsidR="0047062B" w:rsidRPr="00B000D7" w:rsidRDefault="00811C09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b/>
          <w:szCs w:val="24"/>
          <w:lang w:val="bs-Latn-BA"/>
        </w:rPr>
        <w:t>IV.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Процедуре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и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правила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подношења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Захтјева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за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додјелу</w:t>
      </w:r>
      <w:r w:rsidR="0047062B" w:rsidRPr="00B000D7">
        <w:rPr>
          <w:rFonts w:ascii="Arial" w:hAnsi="Arial" w:cs="Arial"/>
          <w:b/>
          <w:szCs w:val="24"/>
          <w:lang w:val="bs-Latn-BA"/>
        </w:rPr>
        <w:t xml:space="preserve"> </w:t>
      </w:r>
      <w:r w:rsidR="00637A2D">
        <w:rPr>
          <w:rFonts w:ascii="Arial" w:hAnsi="Arial" w:cs="Arial"/>
          <w:b/>
          <w:szCs w:val="24"/>
          <w:lang w:val="bs-Latn-BA"/>
        </w:rPr>
        <w:t>средстава</w:t>
      </w:r>
      <w:r w:rsidR="0047062B" w:rsidRPr="00B000D7">
        <w:rPr>
          <w:rFonts w:ascii="Arial" w:hAnsi="Arial" w:cs="Arial"/>
          <w:szCs w:val="24"/>
          <w:lang w:val="bs-Latn-BA"/>
        </w:rPr>
        <w:t xml:space="preserve"> </w:t>
      </w:r>
    </w:p>
    <w:p w14:paraId="1D9B7CF2" w14:textId="77777777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</w:p>
    <w:p w14:paraId="71151033" w14:textId="3FA5D38B" w:rsidR="000F199E" w:rsidRPr="00B000D7" w:rsidRDefault="00637A2D" w:rsidP="00332598">
      <w:pPr>
        <w:ind w:left="-540"/>
        <w:jc w:val="both"/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Сваки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подносилац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захтјева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може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аплицирати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са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једним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истим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пројектом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поједине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области</w:t>
      </w:r>
      <w:r w:rsidR="000F199E" w:rsidRPr="00B000D7">
        <w:rPr>
          <w:rFonts w:ascii="Arial" w:hAnsi="Arial" w:cs="Arial"/>
          <w:szCs w:val="24"/>
          <w:lang w:val="bs-Latn-BA"/>
        </w:rPr>
        <w:t>,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само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код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једног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од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пет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ресорних</w:t>
      </w:r>
      <w:r w:rsidR="001B0BB5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министарстава</w:t>
      </w:r>
      <w:r w:rsidR="00663013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која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расписују</w:t>
      </w:r>
      <w:r w:rsidR="00332598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јавни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конкурс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финансирање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пројеката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програма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средстава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дијела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прихода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остварених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Буџету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Федерације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Босне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Херцеговине</w:t>
      </w:r>
      <w:r w:rsidR="000F199E" w:rsidRPr="00B000D7">
        <w:rPr>
          <w:rFonts w:ascii="Arial" w:hAnsi="Arial" w:cs="Arial"/>
          <w:szCs w:val="24"/>
          <w:lang w:val="bs-Latn-BA"/>
        </w:rPr>
        <w:t xml:space="preserve">  </w:t>
      </w:r>
      <w:r>
        <w:rPr>
          <w:rFonts w:ascii="Arial" w:hAnsi="Arial" w:cs="Arial"/>
          <w:szCs w:val="24"/>
          <w:lang w:val="bs-Latn-BA"/>
        </w:rPr>
        <w:t>по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основу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накнада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за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приређивање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игара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0F199E" w:rsidRPr="00B000D7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срећу</w:t>
      </w:r>
      <w:r w:rsidR="000F199E" w:rsidRPr="00B000D7">
        <w:rPr>
          <w:rFonts w:ascii="Arial" w:hAnsi="Arial" w:cs="Arial"/>
          <w:szCs w:val="24"/>
          <w:lang w:val="bs-Latn-BA"/>
        </w:rPr>
        <w:t>.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Истим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пројектом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не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може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се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аплицирати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оба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програма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из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овог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јавног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конкурса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у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Федералном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министарству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образовања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и</w:t>
      </w:r>
      <w:r w:rsidR="00523BAD"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  <w:lang w:val="bs-Latn-BA"/>
        </w:rPr>
        <w:t>науке</w:t>
      </w:r>
      <w:r w:rsidR="00523BAD">
        <w:rPr>
          <w:rFonts w:ascii="Arial" w:hAnsi="Arial" w:cs="Arial"/>
          <w:szCs w:val="24"/>
          <w:lang w:val="bs-Latn-BA"/>
        </w:rPr>
        <w:t>.</w:t>
      </w:r>
    </w:p>
    <w:p w14:paraId="501B6EE2" w14:textId="77777777" w:rsidR="005118A3" w:rsidRPr="00B000D7" w:rsidRDefault="005118A3" w:rsidP="00332598">
      <w:pPr>
        <w:ind w:left="-540" w:firstLine="540"/>
        <w:rPr>
          <w:rFonts w:ascii="Arial" w:hAnsi="Arial" w:cs="Arial"/>
          <w:szCs w:val="24"/>
          <w:lang w:val="bs-Latn-BA"/>
        </w:rPr>
      </w:pPr>
    </w:p>
    <w:p w14:paraId="4779C5C5" w14:textId="6CC9732B" w:rsidR="00CD6421" w:rsidRPr="00B000D7" w:rsidRDefault="00637A2D" w:rsidP="00332598">
      <w:pPr>
        <w:pStyle w:val="Default"/>
        <w:ind w:left="-540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lang w:val="bs-Latn-BA"/>
        </w:rPr>
        <w:t>Захтјев</w:t>
      </w:r>
      <w:r w:rsidR="00C7481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2865B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додјелу</w:t>
      </w:r>
      <w:r w:rsidR="002865B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попуњава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се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одговарајућем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обрасцу</w:t>
      </w:r>
      <w:r w:rsidR="00CD6421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који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је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могуће</w:t>
      </w:r>
      <w:r w:rsidR="00CD6421" w:rsidRPr="00B000D7">
        <w:rPr>
          <w:rFonts w:ascii="Arial" w:hAnsi="Arial" w:cs="Arial"/>
          <w:lang w:val="bs-Latn-BA"/>
        </w:rPr>
        <w:t xml:space="preserve">  </w:t>
      </w:r>
      <w:r>
        <w:rPr>
          <w:rFonts w:ascii="Arial" w:hAnsi="Arial" w:cs="Arial"/>
          <w:lang w:val="bs-Latn-BA"/>
        </w:rPr>
        <w:t>преузети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са</w:t>
      </w:r>
      <w:r w:rsidR="00CD6421" w:rsidRPr="00B000D7">
        <w:rPr>
          <w:rFonts w:ascii="Arial" w:hAnsi="Arial" w:cs="Arial"/>
          <w:lang w:val="bs-Latn-BA"/>
        </w:rPr>
        <w:t xml:space="preserve"> w</w:t>
      </w:r>
      <w:r>
        <w:rPr>
          <w:rFonts w:ascii="Arial" w:hAnsi="Arial" w:cs="Arial"/>
          <w:lang w:val="bs-Latn-BA"/>
        </w:rPr>
        <w:t>е</w:t>
      </w:r>
      <w:r w:rsidR="00327A83">
        <w:rPr>
          <w:rFonts w:ascii="Arial" w:hAnsi="Arial" w:cs="Arial"/>
          <w:lang w:val="bs-Latn-BA"/>
        </w:rPr>
        <w:t>b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странице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Министарства</w:t>
      </w:r>
      <w:r w:rsidR="00CD6421" w:rsidRPr="00B000D7">
        <w:rPr>
          <w:rFonts w:ascii="Arial" w:hAnsi="Arial" w:cs="Arial"/>
          <w:b/>
          <w:color w:val="800000"/>
          <w:lang w:val="bs-Latn-BA"/>
        </w:rPr>
        <w:t xml:space="preserve"> </w:t>
      </w:r>
      <w:hyperlink r:id="rId8" w:history="1">
        <w:r w:rsidR="00924FE2" w:rsidRPr="00E520F8">
          <w:rPr>
            <w:rStyle w:val="Hyperlink"/>
            <w:rFonts w:ascii="Arial" w:hAnsi="Arial" w:cs="Arial"/>
            <w:b/>
            <w:lang w:val="bs-Latn-BA"/>
          </w:rPr>
          <w:t>www.</w:t>
        </w:r>
      </w:hyperlink>
      <w:r w:rsidR="00327A83">
        <w:rPr>
          <w:rStyle w:val="Hyperlink"/>
          <w:rFonts w:ascii="Arial" w:hAnsi="Arial" w:cs="Arial"/>
          <w:b/>
          <w:lang w:val="bs-Latn-BA"/>
        </w:rPr>
        <w:t>fmon.gov.ba</w:t>
      </w:r>
      <w:r w:rsidR="00CD6421" w:rsidRPr="00B000D7">
        <w:rPr>
          <w:rFonts w:ascii="Arial" w:hAnsi="Arial" w:cs="Arial"/>
          <w:b/>
          <w:color w:val="auto"/>
          <w:lang w:val="bs-Latn-BA"/>
        </w:rPr>
        <w:t>.</w:t>
      </w:r>
      <w:r w:rsidR="0089029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Уз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попуњени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захтјев</w:t>
      </w:r>
      <w:r w:rsidR="00CA65CF">
        <w:rPr>
          <w:rFonts w:ascii="Arial" w:hAnsi="Arial" w:cs="Arial"/>
          <w:lang w:val="bs-Latn-BA"/>
        </w:rPr>
        <w:t>,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подносилац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захтјева</w:t>
      </w:r>
      <w:r w:rsidR="00CD6421" w:rsidRPr="00B000D7">
        <w:rPr>
          <w:rFonts w:ascii="Arial" w:hAnsi="Arial" w:cs="Arial"/>
          <w:lang w:val="bs-Latn-BA"/>
        </w:rPr>
        <w:t>/</w:t>
      </w:r>
      <w:r>
        <w:rPr>
          <w:rFonts w:ascii="Arial" w:hAnsi="Arial" w:cs="Arial"/>
          <w:lang w:val="bs-Latn-BA"/>
        </w:rPr>
        <w:t>пројекта</w:t>
      </w:r>
      <w:r w:rsidR="00CD6421" w:rsidRPr="00B000D7">
        <w:rPr>
          <w:rFonts w:ascii="Arial" w:hAnsi="Arial" w:cs="Arial"/>
          <w:lang w:val="bs-Latn-BA"/>
        </w:rPr>
        <w:t xml:space="preserve">  </w:t>
      </w:r>
      <w:r>
        <w:rPr>
          <w:rFonts w:ascii="Arial" w:hAnsi="Arial" w:cs="Arial"/>
          <w:lang w:val="bs-Latn-BA"/>
        </w:rPr>
        <w:t>дужан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је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приложити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сву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неопходну</w:t>
      </w:r>
      <w:r w:rsidR="00CD6421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документацију</w:t>
      </w:r>
      <w:r w:rsidR="007032D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наведену</w:t>
      </w:r>
      <w:r w:rsidR="007032D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7032D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тексту</w:t>
      </w:r>
      <w:r w:rsidR="007032D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Јавног</w:t>
      </w:r>
      <w:r w:rsidR="007032D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конкурса</w:t>
      </w:r>
      <w:r w:rsidR="00CD6421" w:rsidRPr="00B000D7">
        <w:rPr>
          <w:rFonts w:ascii="Arial" w:hAnsi="Arial" w:cs="Arial"/>
          <w:lang w:val="bs-Latn-BA"/>
        </w:rPr>
        <w:t>.</w:t>
      </w:r>
    </w:p>
    <w:p w14:paraId="25A4DF19" w14:textId="77777777" w:rsidR="00CD6421" w:rsidRPr="00B000D7" w:rsidRDefault="00CD6421" w:rsidP="00332598">
      <w:pPr>
        <w:pStyle w:val="Default"/>
        <w:ind w:left="-540" w:firstLine="540"/>
        <w:jc w:val="both"/>
        <w:rPr>
          <w:rFonts w:ascii="Arial" w:hAnsi="Arial" w:cs="Arial"/>
          <w:b/>
          <w:lang w:val="bs-Latn-BA"/>
        </w:rPr>
      </w:pPr>
    </w:p>
    <w:p w14:paraId="47831478" w14:textId="330CF444" w:rsidR="00AA756A" w:rsidRPr="00B000D7" w:rsidRDefault="00637A2D" w:rsidP="00332598">
      <w:pPr>
        <w:overflowPunct/>
        <w:autoSpaceDE/>
        <w:autoSpaceDN/>
        <w:adjustRightInd/>
        <w:spacing w:after="160" w:line="259" w:lineRule="auto"/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додијељена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претходном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периоду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 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 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31.12. 202</w:t>
      </w:r>
      <w:r w:rsidR="00E96703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односно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15.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јануара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202</w:t>
      </w:r>
      <w:r w:rsidR="0038188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уколико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имплементација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пројекта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трајала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краја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календарске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године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доставили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Извјештај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намјенском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утрошку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утрошили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ненамјенски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достављеном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Извјештају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правдали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цјелокупна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додијељена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 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неће</w:t>
      </w:r>
      <w:r w:rsidR="00523BA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разматрани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 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Такођер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неће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разматрани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апликанти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складу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чланом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12 </w:t>
      </w:r>
      <w:bookmarkStart w:id="18" w:name="_Hlk158373202"/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начину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расподјеле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дијела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прихода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остварених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накнада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приређивање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игара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срећу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9" w:name="_Hlk158373225"/>
      <w:bookmarkEnd w:id="18"/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(„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Службене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новине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Федерације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89/15, 11/17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87/22)</w:t>
      </w:r>
      <w:bookmarkEnd w:id="19"/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испунили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другим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федералним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министарствима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реализују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јавне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конкурсе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финансирање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пројеката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програма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из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дијела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прихода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остварених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Буџету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ФБиХ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накнада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приређивање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игара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срећу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што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провјерава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министарство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</w:t>
      </w:r>
    </w:p>
    <w:p w14:paraId="520485E6" w14:textId="77777777" w:rsidR="0012210D" w:rsidRPr="00B000D7" w:rsidRDefault="0012210D" w:rsidP="0012210D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12919EBA" w14:textId="270D46C9" w:rsidR="00875C2F" w:rsidRPr="00B000D7" w:rsidRDefault="00637A2D" w:rsidP="0047062B">
      <w:pPr>
        <w:pStyle w:val="Default"/>
        <w:ind w:left="-567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У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Захтјеву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додјелу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12210D" w:rsidRPr="00B000D7">
        <w:rPr>
          <w:rFonts w:ascii="Arial" w:hAnsi="Arial" w:cs="Arial"/>
          <w:lang w:val="bs-Latn-BA"/>
        </w:rPr>
        <w:t>,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дијелу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који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се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односи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Финансијски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план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2F6CAA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посебно</w:t>
      </w:r>
      <w:r w:rsidR="00B6449F" w:rsidRPr="00B000D7">
        <w:rPr>
          <w:rFonts w:ascii="Arial" w:hAnsi="Arial" w:cs="Arial"/>
          <w:lang w:val="bs-Latn-BA"/>
        </w:rPr>
        <w:t xml:space="preserve">  </w:t>
      </w:r>
      <w:r>
        <w:rPr>
          <w:rFonts w:ascii="Arial" w:hAnsi="Arial" w:cs="Arial"/>
          <w:lang w:val="bs-Latn-BA"/>
        </w:rPr>
        <w:t>тачки</w:t>
      </w:r>
      <w:r w:rsidR="0012210D" w:rsidRPr="00B000D7">
        <w:rPr>
          <w:rFonts w:ascii="Arial" w:hAnsi="Arial" w:cs="Arial"/>
          <w:lang w:val="bs-Latn-BA"/>
        </w:rPr>
        <w:t xml:space="preserve"> </w:t>
      </w:r>
      <w:r w:rsidR="002F6CAA" w:rsidRPr="00B000D7">
        <w:rPr>
          <w:rFonts w:ascii="Arial" w:hAnsi="Arial" w:cs="Arial"/>
          <w:lang w:val="bs-Latn-BA"/>
        </w:rPr>
        <w:t>„</w:t>
      </w:r>
      <w:r>
        <w:rPr>
          <w:rFonts w:ascii="Arial" w:hAnsi="Arial" w:cs="Arial"/>
          <w:lang w:val="bs-Latn-BA"/>
        </w:rPr>
        <w:t>Структура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финансирања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12210D" w:rsidRPr="00B000D7">
        <w:rPr>
          <w:rFonts w:ascii="Arial" w:hAnsi="Arial" w:cs="Arial"/>
          <w:lang w:val="bs-Latn-BA"/>
        </w:rPr>
        <w:t>/</w:t>
      </w:r>
      <w:r>
        <w:rPr>
          <w:rFonts w:ascii="Arial" w:hAnsi="Arial" w:cs="Arial"/>
          <w:lang w:val="bs-Latn-BA"/>
        </w:rPr>
        <w:t>програма</w:t>
      </w:r>
      <w:r w:rsidR="0012210D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план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трошкова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12210D" w:rsidRPr="00B000D7">
        <w:rPr>
          <w:rFonts w:ascii="Arial" w:hAnsi="Arial" w:cs="Arial"/>
          <w:lang w:val="bs-Latn-BA"/>
        </w:rPr>
        <w:t xml:space="preserve"> </w:t>
      </w:r>
      <w:r w:rsidR="002F6CAA" w:rsidRPr="00B000D7">
        <w:rPr>
          <w:rFonts w:ascii="Arial" w:hAnsi="Arial" w:cs="Arial"/>
          <w:lang w:val="bs-Latn-BA"/>
        </w:rPr>
        <w:t>–</w:t>
      </w:r>
      <w:r w:rsidR="0012210D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РАСХОДИ</w:t>
      </w:r>
      <w:r w:rsidR="002F6CAA" w:rsidRPr="00B000D7">
        <w:rPr>
          <w:rFonts w:ascii="Arial" w:hAnsi="Arial" w:cs="Arial"/>
          <w:lang w:val="bs-Latn-BA"/>
        </w:rPr>
        <w:t xml:space="preserve">“, </w:t>
      </w:r>
      <w:r>
        <w:rPr>
          <w:rFonts w:ascii="Arial" w:hAnsi="Arial" w:cs="Arial"/>
          <w:lang w:val="bs-Latn-BA"/>
        </w:rPr>
        <w:t>мора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бити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детаљно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јасно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попуњена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са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свим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планираним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трошковима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2F6CAA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и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то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аналитички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разврстани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недвосмислено</w:t>
      </w:r>
      <w:r w:rsidR="002F6CAA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исказани</w:t>
      </w:r>
      <w:r w:rsidR="002F6CAA" w:rsidRPr="00B000D7">
        <w:rPr>
          <w:rFonts w:ascii="Arial" w:hAnsi="Arial" w:cs="Arial"/>
          <w:lang w:val="bs-Latn-BA"/>
        </w:rPr>
        <w:t>.</w:t>
      </w:r>
    </w:p>
    <w:p w14:paraId="6D87F5A3" w14:textId="536305D5" w:rsidR="003D24C2" w:rsidRPr="00B000D7" w:rsidRDefault="00CD6421" w:rsidP="006F00C2">
      <w:pPr>
        <w:pStyle w:val="Default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       </w:t>
      </w:r>
    </w:p>
    <w:p w14:paraId="238570B3" w14:textId="774A40AD" w:rsidR="00CA65CF" w:rsidRDefault="00637A2D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Удружења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грађана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хуманитарне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организације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којима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буду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додијељена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средства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финансирање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предложених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пројеката</w:t>
      </w:r>
      <w:r w:rsidR="00C4626E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дужна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краја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календарске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године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којој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средства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додијељена</w:t>
      </w:r>
      <w:r w:rsidR="00C4626E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доставити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надлежним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министарствима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Извјештај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намјенском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утрошку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додијељених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C4626E" w:rsidRPr="00B000D7">
        <w:rPr>
          <w:rFonts w:ascii="Arial" w:hAnsi="Arial" w:cs="Arial"/>
          <w:lang w:val="bs-Latn-BA"/>
        </w:rPr>
        <w:t>.</w:t>
      </w:r>
    </w:p>
    <w:p w14:paraId="68226BB6" w14:textId="7A857689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</w:r>
      <w:r w:rsidR="00637A2D">
        <w:rPr>
          <w:rFonts w:ascii="Arial" w:hAnsi="Arial" w:cs="Arial"/>
          <w:lang w:val="bs-Latn-BA"/>
        </w:rPr>
        <w:t>Изузетно</w:t>
      </w:r>
      <w:r w:rsidRPr="00B000D7">
        <w:rPr>
          <w:rFonts w:ascii="Arial" w:hAnsi="Arial" w:cs="Arial"/>
          <w:lang w:val="bs-Latn-BA"/>
        </w:rPr>
        <w:t xml:space="preserve">, </w:t>
      </w:r>
      <w:r w:rsidR="00637A2D">
        <w:rPr>
          <w:rFonts w:ascii="Arial" w:hAnsi="Arial" w:cs="Arial"/>
          <w:lang w:val="bs-Latn-BA"/>
        </w:rPr>
        <w:t>уколико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имплементација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пројекта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корисника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средстава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траје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до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краја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календарске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године</w:t>
      </w:r>
      <w:r w:rsidRPr="00B000D7">
        <w:rPr>
          <w:rFonts w:ascii="Arial" w:hAnsi="Arial" w:cs="Arial"/>
          <w:lang w:val="bs-Latn-BA"/>
        </w:rPr>
        <w:t xml:space="preserve">, </w:t>
      </w:r>
      <w:r w:rsidR="00637A2D">
        <w:rPr>
          <w:rFonts w:ascii="Arial" w:hAnsi="Arial" w:cs="Arial"/>
          <w:lang w:val="bs-Latn-BA"/>
        </w:rPr>
        <w:t>Извјештај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надлежном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министарству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може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доставити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најкасније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до</w:t>
      </w:r>
      <w:r w:rsidR="0047062B" w:rsidRPr="00B000D7">
        <w:rPr>
          <w:rFonts w:ascii="Arial" w:hAnsi="Arial" w:cs="Arial"/>
          <w:lang w:val="bs-Latn-BA"/>
        </w:rPr>
        <w:t xml:space="preserve"> 15. </w:t>
      </w:r>
      <w:r w:rsidR="00637A2D">
        <w:rPr>
          <w:rFonts w:ascii="Arial" w:hAnsi="Arial" w:cs="Arial"/>
          <w:lang w:val="bs-Latn-BA"/>
        </w:rPr>
        <w:t>јануара</w:t>
      </w:r>
      <w:r w:rsidR="0047062B"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наредне</w:t>
      </w:r>
      <w:r w:rsidR="0047062B"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године</w:t>
      </w:r>
      <w:r w:rsidR="0047062B" w:rsidRPr="00B000D7">
        <w:rPr>
          <w:rFonts w:ascii="Arial" w:hAnsi="Arial" w:cs="Arial"/>
          <w:lang w:val="bs-Latn-BA"/>
        </w:rPr>
        <w:t>.</w:t>
      </w:r>
    </w:p>
    <w:p w14:paraId="52AE8CAA" w14:textId="0B8B246D" w:rsidR="00CA65CF" w:rsidRPr="00B000D7" w:rsidRDefault="0047062B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</w:p>
    <w:p w14:paraId="2B878A0A" w14:textId="075436A7" w:rsidR="00C4626E" w:rsidRPr="00B000D7" w:rsidRDefault="00637A2D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Удружења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грађана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хуманитарне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организације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наведеном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року</w:t>
      </w:r>
      <w:r w:rsidR="00C4626E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не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доставе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извјештај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утрошку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или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утврди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додијељена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средства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утрошили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супротно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намјени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или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нису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потпуности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искористили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додијељена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средства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или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накнадно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утврди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са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истим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захтјевом</w:t>
      </w:r>
      <w:r w:rsidR="00C4626E" w:rsidRPr="00B000D7">
        <w:rPr>
          <w:rFonts w:ascii="Arial" w:hAnsi="Arial" w:cs="Arial"/>
          <w:lang w:val="bs-Latn-BA"/>
        </w:rPr>
        <w:t>/</w:t>
      </w:r>
      <w:r>
        <w:rPr>
          <w:rFonts w:ascii="Arial" w:hAnsi="Arial" w:cs="Arial"/>
          <w:lang w:val="bs-Latn-BA"/>
        </w:rPr>
        <w:t>пројектом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аплицирали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код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других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надлежних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министарства</w:t>
      </w:r>
      <w:r w:rsidR="00C4626E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дужни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року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од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осам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дана</w:t>
      </w:r>
      <w:r w:rsidR="00C4626E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извршити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поврат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C4626E" w:rsidRPr="00B000D7">
        <w:rPr>
          <w:rFonts w:ascii="Arial" w:hAnsi="Arial" w:cs="Arial"/>
          <w:lang w:val="bs-Latn-BA"/>
        </w:rPr>
        <w:t xml:space="preserve">. </w:t>
      </w:r>
    </w:p>
    <w:p w14:paraId="09C7764E" w14:textId="77777777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67836D91" w14:textId="35A05C22" w:rsidR="00CA65CF" w:rsidRDefault="00637A2D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случају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поменутог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непоступања</w:t>
      </w:r>
      <w:r w:rsidR="00C4626E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односно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ако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се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не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изврши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правовремени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поврат</w:t>
      </w:r>
      <w:r w:rsidR="00630514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630514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Министарство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ће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наведеном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обавијестити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Буџетску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инспекцију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Федерације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Босне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C4626E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Херцеговине</w:t>
      </w:r>
      <w:r w:rsidR="00C4626E" w:rsidRPr="00B000D7">
        <w:rPr>
          <w:rFonts w:ascii="Arial" w:hAnsi="Arial" w:cs="Arial"/>
          <w:lang w:val="bs-Latn-BA"/>
        </w:rPr>
        <w:t>.</w:t>
      </w:r>
    </w:p>
    <w:p w14:paraId="3CAA8C16" w14:textId="3BE0C06A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</w:r>
      <w:r w:rsidR="00637A2D">
        <w:rPr>
          <w:rFonts w:ascii="Arial" w:hAnsi="Arial" w:cs="Arial"/>
          <w:lang w:val="bs-Latn-BA"/>
        </w:rPr>
        <w:t>Корисници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који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изврше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поврат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додијељених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средстава</w:t>
      </w:r>
      <w:r w:rsidRPr="00B000D7">
        <w:rPr>
          <w:rFonts w:ascii="Arial" w:hAnsi="Arial" w:cs="Arial"/>
          <w:lang w:val="bs-Latn-BA"/>
        </w:rPr>
        <w:t xml:space="preserve">, </w:t>
      </w:r>
      <w:r w:rsidR="00637A2D">
        <w:rPr>
          <w:rFonts w:ascii="Arial" w:hAnsi="Arial" w:cs="Arial"/>
          <w:lang w:val="bs-Latn-BA"/>
        </w:rPr>
        <w:t>не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могу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остварити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право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додјелу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средстава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наредне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три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године</w:t>
      </w:r>
      <w:r w:rsidRPr="00B000D7">
        <w:rPr>
          <w:rFonts w:ascii="Arial" w:hAnsi="Arial" w:cs="Arial"/>
          <w:lang w:val="bs-Latn-BA"/>
        </w:rPr>
        <w:t>.</w:t>
      </w:r>
    </w:p>
    <w:p w14:paraId="23B8377C" w14:textId="6A024FFE" w:rsidR="00CE7A43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</w:r>
      <w:r w:rsidR="00637A2D">
        <w:rPr>
          <w:rFonts w:ascii="Arial" w:hAnsi="Arial" w:cs="Arial"/>
          <w:lang w:val="bs-Latn-BA"/>
        </w:rPr>
        <w:t>Против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удружења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грађана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хуманитарних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организација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који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изврше</w:t>
      </w:r>
      <w:r w:rsidR="00630514"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поврат</w:t>
      </w:r>
      <w:r w:rsidR="00630514"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додијељених</w:t>
      </w:r>
      <w:r w:rsidR="00630514"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средстава</w:t>
      </w:r>
      <w:r w:rsidRPr="00B000D7">
        <w:rPr>
          <w:rFonts w:ascii="Arial" w:hAnsi="Arial" w:cs="Arial"/>
          <w:lang w:val="bs-Latn-BA"/>
        </w:rPr>
        <w:t xml:space="preserve">, </w:t>
      </w:r>
      <w:r w:rsidR="00637A2D">
        <w:rPr>
          <w:rFonts w:ascii="Arial" w:hAnsi="Arial" w:cs="Arial"/>
          <w:lang w:val="bs-Latn-BA"/>
        </w:rPr>
        <w:t>надлежно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министарство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је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дужно</w:t>
      </w:r>
      <w:r w:rsidR="00CA65CF">
        <w:rPr>
          <w:rFonts w:ascii="Arial" w:hAnsi="Arial" w:cs="Arial"/>
          <w:lang w:val="bs-Latn-BA"/>
        </w:rPr>
        <w:t>,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у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складу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законом</w:t>
      </w:r>
      <w:r w:rsidRPr="00B000D7">
        <w:rPr>
          <w:rFonts w:ascii="Arial" w:hAnsi="Arial" w:cs="Arial"/>
          <w:lang w:val="bs-Latn-BA"/>
        </w:rPr>
        <w:t xml:space="preserve">, </w:t>
      </w:r>
      <w:r w:rsidR="00637A2D">
        <w:rPr>
          <w:rFonts w:ascii="Arial" w:hAnsi="Arial" w:cs="Arial"/>
          <w:lang w:val="bs-Latn-BA"/>
        </w:rPr>
        <w:t>код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надлежних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судских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органа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подузети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одговарајуће</w:t>
      </w:r>
      <w:r w:rsidRPr="00B000D7">
        <w:rPr>
          <w:rFonts w:ascii="Arial" w:hAnsi="Arial" w:cs="Arial"/>
          <w:lang w:val="bs-Latn-BA"/>
        </w:rPr>
        <w:t xml:space="preserve"> </w:t>
      </w:r>
      <w:r w:rsidR="00637A2D">
        <w:rPr>
          <w:rFonts w:ascii="Arial" w:hAnsi="Arial" w:cs="Arial"/>
          <w:lang w:val="bs-Latn-BA"/>
        </w:rPr>
        <w:t>мјере</w:t>
      </w:r>
      <w:r w:rsidRPr="00B000D7">
        <w:rPr>
          <w:rFonts w:ascii="Arial" w:hAnsi="Arial" w:cs="Arial"/>
          <w:lang w:val="bs-Latn-BA"/>
        </w:rPr>
        <w:t>.</w:t>
      </w:r>
    </w:p>
    <w:p w14:paraId="32EFF4E0" w14:textId="77777777" w:rsidR="00CE7A43" w:rsidRPr="00B000D7" w:rsidRDefault="00CE7A43" w:rsidP="00CE7A43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03A9157D" w14:textId="7037E79F" w:rsidR="00CE7A43" w:rsidRPr="00B000D7" w:rsidRDefault="00637A2D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Начин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подношења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пријаве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:</w:t>
      </w:r>
    </w:p>
    <w:p w14:paraId="7C81480B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</w:p>
    <w:p w14:paraId="254C4A93" w14:textId="71BC826A" w:rsidR="00CE7A43" w:rsidRPr="00B000D7" w:rsidRDefault="00637A2D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Захтјеви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са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одговарајућом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документацијом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шаљу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се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препоручено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поштом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адресу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:</w:t>
      </w:r>
    </w:p>
    <w:p w14:paraId="02905914" w14:textId="7FDA4130" w:rsidR="00CE7A43" w:rsidRPr="00B000D7" w:rsidRDefault="00637A2D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Федерално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министарство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образовања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и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науке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др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Анте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Старчевића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бб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, 88000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Мостар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с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обавезном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напоменом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:  </w:t>
      </w:r>
      <w:r w:rsidR="00695DE0" w:rsidRPr="00695DE0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По јавном конкурсу за финансирање пројеката и програма из средстава дијела прихода остварених у Буџету ФБиХ по основу накнада за приређивање игара на срећу у 2025. години</w:t>
      </w:r>
      <w:r w:rsidR="00695DE0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.</w:t>
      </w:r>
    </w:p>
    <w:p w14:paraId="2D4C9B80" w14:textId="65920447" w:rsidR="00CE7A43" w:rsidRPr="00B000D7" w:rsidRDefault="00637A2D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ОТВАРАТИ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–</w:t>
      </w:r>
    </w:p>
    <w:p w14:paraId="40FD6804" w14:textId="2048E314" w:rsidR="00CE7A43" w:rsidRPr="00B000D7" w:rsidRDefault="00637A2D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полеђини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коверте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(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овјерене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печатом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подносиоца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пријаве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)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обавезно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навести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:</w:t>
      </w:r>
    </w:p>
    <w:p w14:paraId="0B0461B1" w14:textId="6FF22ADB" w:rsidR="00CE7A43" w:rsidRPr="00B000D7" w:rsidRDefault="00637A2D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назив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подносиоца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пријаве</w:t>
      </w:r>
    </w:p>
    <w:p w14:paraId="1E898E25" w14:textId="4E8D33FD" w:rsidR="004D4765" w:rsidRDefault="00637A2D" w:rsidP="004D4765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адресу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и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контакт</w:t>
      </w:r>
      <w:r w:rsidR="00CE7A43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телефон</w:t>
      </w:r>
    </w:p>
    <w:p w14:paraId="03DBC7D9" w14:textId="218E8E2D" w:rsidR="004D4765" w:rsidRDefault="004D4765" w:rsidP="004D4765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74F10C9E" w14:textId="4BF19A7C" w:rsidR="004D4765" w:rsidRPr="004D4765" w:rsidRDefault="00637A2D" w:rsidP="004D4765">
      <w:pPr>
        <w:pStyle w:val="Default"/>
        <w:ind w:left="-567"/>
        <w:rPr>
          <w:rFonts w:ascii="Arial" w:hAnsi="Arial" w:cs="Arial"/>
          <w:b/>
          <w:bCs/>
          <w:color w:val="auto"/>
          <w:lang w:val="bs-Latn-BA"/>
        </w:rPr>
      </w:pPr>
      <w:r>
        <w:rPr>
          <w:rFonts w:ascii="Arial" w:hAnsi="Arial" w:cs="Arial"/>
          <w:b/>
          <w:bCs/>
          <w:color w:val="auto"/>
          <w:lang w:val="bs-Latn-BA"/>
        </w:rPr>
        <w:lastRenderedPageBreak/>
        <w:t>На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коверти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треба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бити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јасно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назначено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, </w:t>
      </w:r>
      <w:r>
        <w:rPr>
          <w:rFonts w:ascii="Arial" w:hAnsi="Arial" w:cs="Arial"/>
          <w:b/>
          <w:bCs/>
          <w:color w:val="auto"/>
          <w:lang w:val="bs-Latn-BA"/>
        </w:rPr>
        <w:t>на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који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од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два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програма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се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апликант</w:t>
      </w:r>
      <w:r w:rsidR="00796CF5">
        <w:rPr>
          <w:rFonts w:ascii="Arial" w:hAnsi="Arial" w:cs="Arial"/>
          <w:b/>
          <w:bCs/>
          <w:color w:val="auto"/>
          <w:lang w:val="bs-Latn-BA"/>
        </w:rPr>
        <w:t xml:space="preserve"> </w:t>
      </w:r>
      <w:r>
        <w:rPr>
          <w:rFonts w:ascii="Arial" w:hAnsi="Arial" w:cs="Arial"/>
          <w:b/>
          <w:bCs/>
          <w:color w:val="auto"/>
          <w:lang w:val="bs-Latn-BA"/>
        </w:rPr>
        <w:t>пријављује</w:t>
      </w:r>
      <w:r w:rsidR="004D4765" w:rsidRPr="004D4765">
        <w:rPr>
          <w:rFonts w:ascii="Arial" w:hAnsi="Arial" w:cs="Arial"/>
          <w:b/>
          <w:bCs/>
          <w:color w:val="auto"/>
          <w:lang w:val="bs-Latn-BA"/>
        </w:rPr>
        <w:t>.</w:t>
      </w:r>
    </w:p>
    <w:p w14:paraId="238E08C3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</w:p>
    <w:p w14:paraId="3424ADF5" w14:textId="3F9FD20A" w:rsidR="004B6D02" w:rsidRPr="00B000D7" w:rsidRDefault="00637A2D" w:rsidP="002D7510">
      <w:pPr>
        <w:pStyle w:val="Default"/>
        <w:ind w:left="-567"/>
        <w:jc w:val="both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Крајњи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рок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за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достављање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Захтјева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 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за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додјелу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средстава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је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 w:rsidR="00E2385C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03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.03.202</w:t>
      </w:r>
      <w:r w:rsidR="00E2385C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5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.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године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односно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прихватит</w:t>
      </w:r>
      <w:r w:rsidR="00924FE2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и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ће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се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пријаве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које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имају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поштански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печат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најкасније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с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наведеним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датумом</w:t>
      </w:r>
      <w:r w:rsidR="00CE7A43"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.</w:t>
      </w:r>
    </w:p>
    <w:p w14:paraId="6CB1F08E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highlight w:val="lightGray"/>
          <w:lang w:val="hr-BA" w:eastAsia="en-US"/>
          <w14:ligatures w14:val="standardContextual"/>
        </w:rPr>
      </w:pPr>
    </w:p>
    <w:p w14:paraId="157222A7" w14:textId="4B61B274" w:rsidR="00AA756A" w:rsidRPr="00B000D7" w:rsidRDefault="00637A2D" w:rsidP="00630514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додјелу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јасно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потпуности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попуњени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те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потписани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од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стране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овлаштене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особе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овјерени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печатом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удружења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хуманитарне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организације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додјелу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средстава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достављена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сва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тражена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документација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достављени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прописаном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року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као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захтјеви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који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нису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испунили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услове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из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члана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12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Уредбе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критеријима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утврђивање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корисника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начину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расподјеле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дијела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прихода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остварених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по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основу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накнада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за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приређивање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игара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на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срећу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(„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Службене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новине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Федерације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БиХ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“,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бр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89/15, 11/17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87/22)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неће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бити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разматрани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</w:t>
      </w:r>
    </w:p>
    <w:p w14:paraId="6C491880" w14:textId="77777777" w:rsidR="007D4839" w:rsidRPr="00B000D7" w:rsidRDefault="007D4839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6CB28EF8" w14:textId="1A49C630" w:rsidR="00D11966" w:rsidRPr="00B000D7" w:rsidRDefault="00637A2D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  <w:r>
        <w:rPr>
          <w:rFonts w:ascii="Arial" w:hAnsi="Arial" w:cs="Arial"/>
          <w:b/>
          <w:color w:val="auto"/>
          <w:lang w:val="bs-Latn-BA"/>
        </w:rPr>
        <w:t>Саставни</w:t>
      </w:r>
      <w:r w:rsidR="00D11966" w:rsidRPr="00B000D7">
        <w:rPr>
          <w:rFonts w:ascii="Arial" w:hAnsi="Arial" w:cs="Arial"/>
          <w:b/>
          <w:color w:val="auto"/>
          <w:lang w:val="bs-Latn-BA"/>
        </w:rPr>
        <w:t xml:space="preserve"> </w:t>
      </w:r>
      <w:r>
        <w:rPr>
          <w:rFonts w:ascii="Arial" w:hAnsi="Arial" w:cs="Arial"/>
          <w:b/>
          <w:color w:val="auto"/>
          <w:lang w:val="bs-Latn-BA"/>
        </w:rPr>
        <w:t>дио</w:t>
      </w:r>
      <w:r w:rsidR="00D11966" w:rsidRPr="00B000D7">
        <w:rPr>
          <w:rFonts w:ascii="Arial" w:hAnsi="Arial" w:cs="Arial"/>
          <w:b/>
          <w:color w:val="auto"/>
          <w:lang w:val="bs-Latn-BA"/>
        </w:rPr>
        <w:t xml:space="preserve"> </w:t>
      </w:r>
      <w:r>
        <w:rPr>
          <w:rFonts w:ascii="Arial" w:hAnsi="Arial" w:cs="Arial"/>
          <w:b/>
          <w:color w:val="auto"/>
          <w:lang w:val="bs-Latn-BA"/>
        </w:rPr>
        <w:t>ових</w:t>
      </w:r>
      <w:r w:rsidR="00D11966" w:rsidRPr="00B000D7">
        <w:rPr>
          <w:rFonts w:ascii="Arial" w:hAnsi="Arial" w:cs="Arial"/>
          <w:b/>
          <w:color w:val="auto"/>
          <w:lang w:val="bs-Latn-BA"/>
        </w:rPr>
        <w:t xml:space="preserve"> </w:t>
      </w:r>
      <w:r>
        <w:rPr>
          <w:rFonts w:ascii="Arial" w:hAnsi="Arial" w:cs="Arial"/>
          <w:b/>
          <w:color w:val="auto"/>
          <w:lang w:val="bs-Latn-BA"/>
        </w:rPr>
        <w:t>Упут</w:t>
      </w:r>
      <w:r w:rsidR="00924FE2">
        <w:rPr>
          <w:rFonts w:ascii="Arial" w:hAnsi="Arial" w:cs="Arial"/>
          <w:b/>
          <w:color w:val="auto"/>
          <w:lang w:val="bs-Latn-BA"/>
        </w:rPr>
        <w:t>став</w:t>
      </w:r>
      <w:r>
        <w:rPr>
          <w:rFonts w:ascii="Arial" w:hAnsi="Arial" w:cs="Arial"/>
          <w:b/>
          <w:color w:val="auto"/>
          <w:lang w:val="bs-Latn-BA"/>
        </w:rPr>
        <w:t>а</w:t>
      </w:r>
      <w:r w:rsidR="00D11966" w:rsidRPr="00B000D7">
        <w:rPr>
          <w:rFonts w:ascii="Arial" w:hAnsi="Arial" w:cs="Arial"/>
          <w:b/>
          <w:color w:val="auto"/>
          <w:lang w:val="bs-Latn-BA"/>
        </w:rPr>
        <w:t xml:space="preserve"> </w:t>
      </w:r>
      <w:r>
        <w:rPr>
          <w:rFonts w:ascii="Arial" w:hAnsi="Arial" w:cs="Arial"/>
          <w:b/>
          <w:color w:val="auto"/>
          <w:lang w:val="bs-Latn-BA"/>
        </w:rPr>
        <w:t>чине</w:t>
      </w:r>
      <w:r w:rsidR="00D11966" w:rsidRPr="00B000D7">
        <w:rPr>
          <w:rFonts w:ascii="Arial" w:hAnsi="Arial" w:cs="Arial"/>
          <w:b/>
          <w:color w:val="auto"/>
          <w:lang w:val="bs-Latn-BA"/>
        </w:rPr>
        <w:t>:</w:t>
      </w:r>
    </w:p>
    <w:p w14:paraId="1923BF06" w14:textId="77777777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0B6417A2" w14:textId="17A6F4BE" w:rsidR="00D11966" w:rsidRPr="00B000D7" w:rsidRDefault="00637A2D" w:rsidP="001C5F8C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Образац</w:t>
      </w:r>
      <w:r w:rsidR="00D11966" w:rsidRPr="00B000D7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Захтјева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додјелу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финансирање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пројеката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дијела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прихода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остварених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Буџету</w:t>
      </w:r>
      <w:r w:rsidR="007D483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Федерације</w:t>
      </w:r>
      <w:r w:rsidR="007D483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Босне</w:t>
      </w:r>
      <w:r w:rsidR="007D483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7D483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Херцеговине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основу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накнада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приређивање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игара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1C5F8C" w:rsidRPr="00B000D7">
        <w:rPr>
          <w:rFonts w:ascii="Arial" w:hAnsi="Arial" w:cs="Arial"/>
          <w:lang w:val="bs-Latn-BA"/>
        </w:rPr>
        <w:t xml:space="preserve"> – </w:t>
      </w:r>
      <w:r>
        <w:rPr>
          <w:rFonts w:ascii="Arial" w:hAnsi="Arial" w:cs="Arial"/>
          <w:lang w:val="bs-Latn-BA"/>
        </w:rPr>
        <w:t>за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Заштита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права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дјетета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жртва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злостављања</w:t>
      </w:r>
      <w:r w:rsidR="001C5F8C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педофилије</w:t>
      </w:r>
      <w:r w:rsidR="001C5F8C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просјачења</w:t>
      </w:r>
      <w:r w:rsidR="00D11966" w:rsidRPr="00B000D7">
        <w:rPr>
          <w:rFonts w:ascii="Arial" w:hAnsi="Arial" w:cs="Arial"/>
          <w:lang w:val="bs-Latn-BA"/>
        </w:rPr>
        <w:t>;</w:t>
      </w:r>
    </w:p>
    <w:p w14:paraId="19EB5C26" w14:textId="1B10E6FC" w:rsidR="00D11966" w:rsidRPr="00B000D7" w:rsidRDefault="00637A2D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Образац</w:t>
      </w:r>
      <w:r w:rsidR="001C5F8C" w:rsidRPr="00B000D7">
        <w:rPr>
          <w:rFonts w:ascii="Arial" w:hAnsi="Arial" w:cs="Arial"/>
          <w:b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Захтјева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додјелу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финансирање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пројеката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дијела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прихода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остварених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Буџету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Федерације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Босне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Херцеговине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основу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накнада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приређивање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игара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1C5F8C" w:rsidRPr="00B000D7">
        <w:rPr>
          <w:rFonts w:ascii="Arial" w:hAnsi="Arial" w:cs="Arial"/>
          <w:lang w:val="bs-Latn-BA"/>
        </w:rPr>
        <w:t xml:space="preserve"> – </w:t>
      </w:r>
      <w:r>
        <w:rPr>
          <w:rFonts w:ascii="Arial" w:hAnsi="Arial" w:cs="Arial"/>
          <w:lang w:val="bs-Latn-BA"/>
        </w:rPr>
        <w:t>за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</w:rPr>
        <w:t>Учествовање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лијечењу</w:t>
      </w:r>
      <w:r w:rsidR="001C5F8C" w:rsidRPr="00B000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превенцији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борби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против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овисности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дроги</w:t>
      </w:r>
      <w:r w:rsidR="001C5F8C" w:rsidRPr="00B000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алкохолу</w:t>
      </w:r>
      <w:r w:rsidR="001C5F8C" w:rsidRPr="00B000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играма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срећу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1C5F8C" w:rsidRPr="00B00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коцки</w:t>
      </w:r>
      <w:r w:rsidR="001C5F8C" w:rsidRPr="00B000D7">
        <w:rPr>
          <w:rFonts w:ascii="Arial" w:hAnsi="Arial" w:cs="Arial"/>
        </w:rPr>
        <w:t>;</w:t>
      </w:r>
    </w:p>
    <w:p w14:paraId="22CC08B2" w14:textId="750D5939" w:rsidR="00D11966" w:rsidRPr="00B000D7" w:rsidRDefault="00637A2D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Утврђени</w:t>
      </w:r>
      <w:r w:rsidR="00D11966" w:rsidRPr="00B000D7">
        <w:rPr>
          <w:rFonts w:ascii="Arial" w:hAnsi="Arial" w:cs="Arial"/>
          <w:lang w:val="bs-Latn-BA"/>
        </w:rPr>
        <w:t xml:space="preserve">  </w:t>
      </w:r>
      <w:r>
        <w:rPr>
          <w:rFonts w:ascii="Arial" w:hAnsi="Arial" w:cs="Arial"/>
          <w:lang w:val="bs-Latn-BA"/>
        </w:rPr>
        <w:t>критерији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расподјелу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програме</w:t>
      </w:r>
      <w:r w:rsidR="00D11966" w:rsidRPr="00B000D7">
        <w:rPr>
          <w:rFonts w:ascii="Arial" w:hAnsi="Arial" w:cs="Arial"/>
          <w:lang w:val="bs-Latn-BA"/>
        </w:rPr>
        <w:t xml:space="preserve"> „</w:t>
      </w:r>
      <w:r>
        <w:rPr>
          <w:rFonts w:ascii="Arial" w:hAnsi="Arial" w:cs="Arial"/>
          <w:lang w:val="bs-Latn-BA"/>
        </w:rPr>
        <w:t>Учествовање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лијечењу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превенцији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борби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против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овисности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дроги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алкохолу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играма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коцки</w:t>
      </w:r>
      <w:r w:rsidR="00D11966" w:rsidRPr="00B000D7">
        <w:rPr>
          <w:rFonts w:ascii="Arial" w:hAnsi="Arial" w:cs="Arial"/>
          <w:lang w:val="bs-Latn-BA"/>
        </w:rPr>
        <w:t xml:space="preserve">“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„</w:t>
      </w:r>
      <w:r>
        <w:rPr>
          <w:rFonts w:ascii="Arial" w:hAnsi="Arial" w:cs="Arial"/>
          <w:lang w:val="bs-Latn-BA"/>
        </w:rPr>
        <w:t>Заштиту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дјетета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жртве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злостављања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педофилије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просјачења</w:t>
      </w:r>
      <w:r w:rsidR="00D11966" w:rsidRPr="00B000D7">
        <w:rPr>
          <w:rFonts w:ascii="Arial" w:hAnsi="Arial" w:cs="Arial"/>
          <w:lang w:val="bs-Latn-BA"/>
        </w:rPr>
        <w:t>“;</w:t>
      </w:r>
    </w:p>
    <w:p w14:paraId="05311C10" w14:textId="4ADA5FFB" w:rsidR="001C5F8C" w:rsidRPr="00B000D7" w:rsidRDefault="00637A2D" w:rsidP="007C40A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lang w:val="bs-Latn-BA"/>
        </w:rPr>
      </w:pPr>
      <w:r>
        <w:rPr>
          <w:rFonts w:ascii="Arial" w:hAnsi="Arial" w:cs="Arial"/>
          <w:lang w:val="bs-Latn-BA"/>
        </w:rPr>
        <w:t>Примјерак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обрасца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Комисије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оцјењивање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пројеката</w:t>
      </w:r>
      <w:r w:rsidR="007D483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за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програм</w:t>
      </w:r>
      <w:r w:rsidR="00F74103">
        <w:rPr>
          <w:rFonts w:ascii="Arial" w:hAnsi="Arial" w:cs="Arial"/>
          <w:color w:val="000000"/>
          <w:lang w:val="bs-Latn-BA"/>
        </w:rPr>
        <w:t xml:space="preserve"> </w:t>
      </w:r>
      <w:r w:rsidR="00F5520B">
        <w:rPr>
          <w:rFonts w:ascii="Arial" w:hAnsi="Arial" w:cs="Arial"/>
          <w:color w:val="000000"/>
          <w:lang w:val="bs-Latn-BA"/>
        </w:rPr>
        <w:t>„</w:t>
      </w:r>
      <w:r>
        <w:rPr>
          <w:rFonts w:ascii="Arial" w:hAnsi="Arial" w:cs="Arial"/>
          <w:color w:val="000000"/>
          <w:lang w:val="bs-Latn-BA"/>
        </w:rPr>
        <w:t>Заштита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права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дјетета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која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су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жртва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 </w:t>
      </w:r>
      <w:r>
        <w:rPr>
          <w:rFonts w:ascii="Arial" w:hAnsi="Arial" w:cs="Arial"/>
          <w:color w:val="000000"/>
          <w:lang w:val="bs-Latn-BA"/>
        </w:rPr>
        <w:t>злостављања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, </w:t>
      </w:r>
      <w:r>
        <w:rPr>
          <w:rFonts w:ascii="Arial" w:hAnsi="Arial" w:cs="Arial"/>
          <w:color w:val="000000"/>
          <w:lang w:val="bs-Latn-BA"/>
        </w:rPr>
        <w:t>педофилије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, </w:t>
      </w:r>
      <w:r>
        <w:rPr>
          <w:rFonts w:ascii="Arial" w:hAnsi="Arial" w:cs="Arial"/>
          <w:color w:val="000000"/>
          <w:lang w:val="bs-Latn-BA"/>
        </w:rPr>
        <w:t>просјачења</w:t>
      </w:r>
      <w:r w:rsidR="00F5520B">
        <w:rPr>
          <w:rFonts w:ascii="Arial" w:hAnsi="Arial" w:cs="Arial"/>
          <w:color w:val="000000"/>
          <w:lang w:val="bs-Latn-BA"/>
        </w:rPr>
        <w:t>“</w:t>
      </w:r>
      <w:r w:rsidR="001C5F8C" w:rsidRPr="00B000D7">
        <w:rPr>
          <w:rFonts w:ascii="Arial" w:hAnsi="Arial" w:cs="Arial"/>
          <w:color w:val="000000"/>
          <w:lang w:val="bs-Latn-BA"/>
        </w:rPr>
        <w:t>;</w:t>
      </w:r>
    </w:p>
    <w:p w14:paraId="3E584C21" w14:textId="33C6CF94" w:rsidR="00D11966" w:rsidRPr="00B000D7" w:rsidRDefault="00637A2D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Примјерак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обрасца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Комисије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оцјењивање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пројеката</w:t>
      </w:r>
      <w:r w:rsidR="007D4839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F5520B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</w:t>
      </w:r>
      <w:r w:rsidR="001C5F8C" w:rsidRPr="00B000D7">
        <w:t xml:space="preserve"> </w:t>
      </w:r>
      <w:r w:rsidR="00F5520B">
        <w:t>„</w:t>
      </w:r>
      <w:r>
        <w:rPr>
          <w:rFonts w:ascii="Arial" w:hAnsi="Arial" w:cs="Arial"/>
          <w:lang w:val="bs-Latn-BA"/>
        </w:rPr>
        <w:t>Учествовање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лијечењу</w:t>
      </w:r>
      <w:r w:rsidR="001C5F8C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превенцији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борби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против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овисности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дроги</w:t>
      </w:r>
      <w:r w:rsidR="001C5F8C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алкохолу</w:t>
      </w:r>
      <w:r w:rsidR="001C5F8C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играма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1C5F8C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коцки</w:t>
      </w:r>
      <w:r w:rsidR="00F5520B">
        <w:rPr>
          <w:rFonts w:ascii="Arial" w:hAnsi="Arial" w:cs="Arial"/>
          <w:lang w:val="bs-Latn-BA"/>
        </w:rPr>
        <w:t>“</w:t>
      </w:r>
      <w:r w:rsidR="001C5F8C" w:rsidRPr="00B000D7">
        <w:rPr>
          <w:rFonts w:ascii="Arial" w:hAnsi="Arial" w:cs="Arial"/>
          <w:lang w:val="bs-Latn-BA"/>
        </w:rPr>
        <w:t>;</w:t>
      </w:r>
    </w:p>
    <w:p w14:paraId="50E4D539" w14:textId="1B4356A9" w:rsidR="00D11966" w:rsidRPr="00B000D7" w:rsidRDefault="00637A2D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Образац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Извјештаја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реализацији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намјенског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утрошка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добијених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од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Федералног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министарства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образовања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науке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дијела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прихода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остварених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основу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накнада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приређивање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игара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D11966" w:rsidRPr="00B000D7">
        <w:rPr>
          <w:rFonts w:ascii="Arial" w:hAnsi="Arial" w:cs="Arial"/>
          <w:lang w:val="bs-Latn-BA"/>
        </w:rPr>
        <w:t>;</w:t>
      </w:r>
    </w:p>
    <w:p w14:paraId="715EE8FA" w14:textId="6735FA0D" w:rsidR="00492C28" w:rsidRDefault="00637A2D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bookmarkStart w:id="20" w:name="_Hlk158639427"/>
      <w:r>
        <w:rPr>
          <w:rFonts w:ascii="Arial" w:hAnsi="Arial" w:cs="Arial"/>
          <w:lang w:val="bs-Latn-BA"/>
        </w:rPr>
        <w:t>Примјерак</w:t>
      </w:r>
      <w:r w:rsidR="00D11966" w:rsidRPr="00B000D7">
        <w:rPr>
          <w:rFonts w:ascii="Arial" w:hAnsi="Arial" w:cs="Arial"/>
          <w:lang w:val="bs-Latn-BA"/>
        </w:rPr>
        <w:t>-</w:t>
      </w:r>
      <w:r>
        <w:rPr>
          <w:rFonts w:ascii="Arial" w:hAnsi="Arial" w:cs="Arial"/>
          <w:lang w:val="bs-Latn-BA"/>
        </w:rPr>
        <w:t>урнек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Уговора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финансирању</w:t>
      </w:r>
      <w:r w:rsidR="00D11966" w:rsidRPr="00B000D7">
        <w:rPr>
          <w:rFonts w:ascii="Arial" w:hAnsi="Arial" w:cs="Arial"/>
          <w:lang w:val="bs-Latn-BA"/>
        </w:rPr>
        <w:t>/</w:t>
      </w:r>
      <w:r>
        <w:rPr>
          <w:rFonts w:ascii="Arial" w:hAnsi="Arial" w:cs="Arial"/>
          <w:lang w:val="bs-Latn-BA"/>
        </w:rPr>
        <w:t>суфинансирању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области</w:t>
      </w:r>
      <w:r w:rsidR="00D11966" w:rsidRPr="00B000D7">
        <w:rPr>
          <w:rFonts w:ascii="Arial" w:hAnsi="Arial" w:cs="Arial"/>
          <w:lang w:val="bs-Latn-BA"/>
        </w:rPr>
        <w:t xml:space="preserve"> „</w:t>
      </w:r>
      <w:r>
        <w:rPr>
          <w:rFonts w:ascii="Arial" w:hAnsi="Arial" w:cs="Arial"/>
          <w:lang w:val="bs-Latn-BA"/>
        </w:rPr>
        <w:t>Заштита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права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дјетета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која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су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жртва</w:t>
      </w:r>
      <w:r w:rsidR="00D11966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злостављања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педофилије</w:t>
      </w:r>
      <w:r w:rsidR="00D11966" w:rsidRPr="00B000D7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просјачења</w:t>
      </w:r>
      <w:r w:rsidR="00D11966" w:rsidRPr="00B000D7">
        <w:rPr>
          <w:rFonts w:ascii="Arial" w:hAnsi="Arial" w:cs="Arial"/>
          <w:lang w:val="bs-Latn-BA"/>
        </w:rPr>
        <w:t>“</w:t>
      </w:r>
      <w:r w:rsidR="00523EF7" w:rsidRPr="00523EF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дијела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прихода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остварених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Буџету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Федерације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Босне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Херцеговине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основу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накнаде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приређивање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игара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523EF7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523EF7">
        <w:rPr>
          <w:rFonts w:ascii="Arial" w:hAnsi="Arial" w:cs="Arial"/>
          <w:lang w:val="bs-Latn-BA"/>
        </w:rPr>
        <w:t>;</w:t>
      </w:r>
    </w:p>
    <w:bookmarkEnd w:id="20"/>
    <w:p w14:paraId="75D4D0DB" w14:textId="5DB0872E" w:rsidR="00D11966" w:rsidRPr="00492C28" w:rsidRDefault="00637A2D" w:rsidP="00492C28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Примјерак</w:t>
      </w:r>
      <w:r w:rsidR="00492C28" w:rsidRPr="00B000D7">
        <w:rPr>
          <w:rFonts w:ascii="Arial" w:hAnsi="Arial" w:cs="Arial"/>
          <w:lang w:val="bs-Latn-BA"/>
        </w:rPr>
        <w:t>-</w:t>
      </w:r>
      <w:r>
        <w:rPr>
          <w:rFonts w:ascii="Arial" w:hAnsi="Arial" w:cs="Arial"/>
          <w:lang w:val="bs-Latn-BA"/>
        </w:rPr>
        <w:t>урнек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Уговора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финансирању</w:t>
      </w:r>
      <w:r w:rsidR="00492C28" w:rsidRPr="00B000D7">
        <w:rPr>
          <w:rFonts w:ascii="Arial" w:hAnsi="Arial" w:cs="Arial"/>
          <w:lang w:val="bs-Latn-BA"/>
        </w:rPr>
        <w:t>/</w:t>
      </w:r>
      <w:r>
        <w:rPr>
          <w:rFonts w:ascii="Arial" w:hAnsi="Arial" w:cs="Arial"/>
          <w:lang w:val="bs-Latn-BA"/>
        </w:rPr>
        <w:t>суфинансирању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пројекта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програма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из</w:t>
      </w:r>
      <w:r w:rsidR="00492C28" w:rsidRPr="00B000D7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области</w:t>
      </w:r>
      <w:r w:rsidR="00492C28" w:rsidRPr="00B000D7">
        <w:rPr>
          <w:rFonts w:ascii="Arial" w:hAnsi="Arial" w:cs="Arial"/>
          <w:lang w:val="bs-Latn-BA"/>
        </w:rPr>
        <w:t xml:space="preserve"> </w:t>
      </w:r>
      <w:r w:rsidR="00D11966" w:rsidRPr="00492C28">
        <w:rPr>
          <w:rFonts w:ascii="Arial" w:hAnsi="Arial" w:cs="Arial"/>
          <w:lang w:val="bs-Latn-BA"/>
        </w:rPr>
        <w:t>„</w:t>
      </w:r>
      <w:r>
        <w:rPr>
          <w:rFonts w:ascii="Arial" w:hAnsi="Arial" w:cs="Arial"/>
          <w:lang w:val="bs-Latn-BA"/>
        </w:rPr>
        <w:t>Учествовање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лијечењу</w:t>
      </w:r>
      <w:r w:rsidR="00D11966" w:rsidRPr="00492C28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превенцији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борби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против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овисности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дроги</w:t>
      </w:r>
      <w:r w:rsidR="00D11966" w:rsidRPr="00492C28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алкохолу</w:t>
      </w:r>
      <w:r w:rsidR="00D11966" w:rsidRPr="00492C28">
        <w:rPr>
          <w:rFonts w:ascii="Arial" w:hAnsi="Arial" w:cs="Arial"/>
          <w:lang w:val="bs-Latn-BA"/>
        </w:rPr>
        <w:t xml:space="preserve">, </w:t>
      </w:r>
      <w:r>
        <w:rPr>
          <w:rFonts w:ascii="Arial" w:hAnsi="Arial" w:cs="Arial"/>
          <w:lang w:val="bs-Latn-BA"/>
        </w:rPr>
        <w:t>играма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коцки</w:t>
      </w:r>
      <w:r w:rsidR="00D11966" w:rsidRPr="00492C28">
        <w:rPr>
          <w:rFonts w:ascii="Arial" w:hAnsi="Arial" w:cs="Arial"/>
          <w:lang w:val="bs-Latn-BA"/>
        </w:rPr>
        <w:t xml:space="preserve">“ </w:t>
      </w:r>
      <w:r>
        <w:rPr>
          <w:rFonts w:ascii="Arial" w:hAnsi="Arial" w:cs="Arial"/>
          <w:lang w:val="bs-Latn-BA"/>
        </w:rPr>
        <w:t>из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средстава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дијела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прихода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остварених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у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Буџету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Федерације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Босне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Херцеговине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по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основу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накнаде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за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приређивање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игара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на</w:t>
      </w:r>
      <w:r w:rsidR="00D11966" w:rsidRPr="00492C28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срећу</w:t>
      </w:r>
      <w:r w:rsidR="00D11966" w:rsidRPr="00492C28">
        <w:rPr>
          <w:rFonts w:ascii="Arial" w:hAnsi="Arial" w:cs="Arial"/>
          <w:lang w:val="bs-Latn-BA"/>
        </w:rPr>
        <w:t>.</w:t>
      </w:r>
    </w:p>
    <w:p w14:paraId="005D6A02" w14:textId="60C1359A" w:rsidR="00D11966" w:rsidRDefault="00D11966" w:rsidP="00D11966">
      <w:pPr>
        <w:pStyle w:val="Default"/>
        <w:ind w:left="-171"/>
        <w:jc w:val="both"/>
        <w:rPr>
          <w:rFonts w:ascii="Arial" w:hAnsi="Arial" w:cs="Arial"/>
          <w:color w:val="auto"/>
          <w:lang w:val="bs-Latn-BA"/>
        </w:rPr>
      </w:pPr>
    </w:p>
    <w:p w14:paraId="6F3248EF" w14:textId="7724D98E" w:rsidR="00C717E9" w:rsidRDefault="00C717E9" w:rsidP="00D11966">
      <w:pPr>
        <w:pStyle w:val="Default"/>
        <w:ind w:left="-171"/>
        <w:jc w:val="both"/>
        <w:rPr>
          <w:rFonts w:ascii="Arial" w:hAnsi="Arial" w:cs="Arial"/>
          <w:color w:val="auto"/>
          <w:lang w:val="bs-Latn-BA"/>
        </w:rPr>
      </w:pPr>
    </w:p>
    <w:p w14:paraId="5BBB099B" w14:textId="316C643D" w:rsidR="00C717E9" w:rsidRDefault="00C717E9" w:rsidP="00D11966">
      <w:pPr>
        <w:pStyle w:val="Default"/>
        <w:ind w:left="-171"/>
        <w:jc w:val="both"/>
        <w:rPr>
          <w:rFonts w:ascii="Arial" w:hAnsi="Arial" w:cs="Arial"/>
          <w:color w:val="auto"/>
          <w:lang w:val="bs-Latn-BA"/>
        </w:rPr>
      </w:pPr>
    </w:p>
    <w:p w14:paraId="264E4557" w14:textId="77777777" w:rsidR="00C717E9" w:rsidRPr="00B000D7" w:rsidRDefault="00C717E9" w:rsidP="00D11966">
      <w:pPr>
        <w:pStyle w:val="Default"/>
        <w:ind w:left="-171"/>
        <w:jc w:val="both"/>
        <w:rPr>
          <w:rFonts w:ascii="Arial" w:hAnsi="Arial" w:cs="Arial"/>
          <w:color w:val="auto"/>
          <w:lang w:val="bs-Latn-BA"/>
        </w:rPr>
      </w:pPr>
    </w:p>
    <w:p w14:paraId="1AB8795D" w14:textId="77777777" w:rsidR="000353D3" w:rsidRPr="00B000D7" w:rsidRDefault="00D11966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  <w:r w:rsidRPr="00B000D7">
        <w:rPr>
          <w:rFonts w:ascii="Arial" w:hAnsi="Arial" w:cs="Arial"/>
          <w:color w:val="auto"/>
          <w:lang w:val="bs-Latn-BA"/>
        </w:rPr>
        <w:t xml:space="preserve"> </w:t>
      </w:r>
    </w:p>
    <w:p w14:paraId="385F4C3B" w14:textId="6030D06E" w:rsidR="005F5D52" w:rsidRPr="00B000D7" w:rsidRDefault="00924FE2" w:rsidP="00924FE2">
      <w:pPr>
        <w:overflowPunct/>
        <w:autoSpaceDE/>
        <w:autoSpaceDN/>
        <w:adjustRightInd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</w:t>
      </w:r>
      <w:r w:rsidR="00637A2D">
        <w:rPr>
          <w:rFonts w:ascii="Arial" w:hAnsi="Arial" w:cs="Arial"/>
          <w:b/>
          <w:szCs w:val="24"/>
        </w:rPr>
        <w:t>М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И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Н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И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С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Т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Р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И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Ц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А</w:t>
      </w:r>
    </w:p>
    <w:p w14:paraId="3AFC4DDF" w14:textId="77777777" w:rsidR="005F5D52" w:rsidRPr="00B000D7" w:rsidRDefault="005F5D52" w:rsidP="005F5D52">
      <w:pPr>
        <w:overflowPunct/>
        <w:autoSpaceDE/>
        <w:autoSpaceDN/>
        <w:adjustRightInd/>
        <w:ind w:left="5664" w:firstLine="708"/>
        <w:rPr>
          <w:rFonts w:ascii="Arial" w:hAnsi="Arial" w:cs="Arial"/>
          <w:b/>
          <w:szCs w:val="24"/>
        </w:rPr>
      </w:pPr>
    </w:p>
    <w:p w14:paraId="7C444710" w14:textId="77777777" w:rsidR="005F5D52" w:rsidRPr="00B000D7" w:rsidRDefault="005F5D52" w:rsidP="005F5D52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   </w:t>
      </w:r>
    </w:p>
    <w:p w14:paraId="626735F5" w14:textId="394D6627" w:rsidR="005F5D52" w:rsidRPr="00B000D7" w:rsidRDefault="008F0939" w:rsidP="005F5D52">
      <w:pPr>
        <w:overflowPunct/>
        <w:autoSpaceDE/>
        <w:autoSpaceDN/>
        <w:adjustRightInd/>
        <w:ind w:left="5664"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проф</w:t>
      </w:r>
      <w:r w:rsidR="005F5D52" w:rsidRPr="00B000D7">
        <w:rPr>
          <w:rFonts w:ascii="Arial" w:hAnsi="Arial" w:cs="Arial"/>
          <w:b/>
          <w:szCs w:val="24"/>
        </w:rPr>
        <w:t xml:space="preserve">. </w:t>
      </w:r>
      <w:r w:rsidR="00637A2D">
        <w:rPr>
          <w:rFonts w:ascii="Arial" w:hAnsi="Arial" w:cs="Arial"/>
          <w:b/>
          <w:szCs w:val="24"/>
        </w:rPr>
        <w:t>др</w:t>
      </w:r>
      <w:r w:rsidR="005F5D52" w:rsidRPr="00B000D7">
        <w:rPr>
          <w:rFonts w:ascii="Arial" w:hAnsi="Arial" w:cs="Arial"/>
          <w:b/>
          <w:szCs w:val="24"/>
        </w:rPr>
        <w:t xml:space="preserve">. </w:t>
      </w:r>
      <w:r w:rsidR="00637A2D">
        <w:rPr>
          <w:rFonts w:ascii="Arial" w:hAnsi="Arial" w:cs="Arial"/>
          <w:b/>
          <w:szCs w:val="24"/>
        </w:rPr>
        <w:t>Јасна</w:t>
      </w:r>
      <w:r w:rsidR="005F5D52" w:rsidRPr="00B000D7">
        <w:rPr>
          <w:rFonts w:ascii="Arial" w:hAnsi="Arial" w:cs="Arial"/>
          <w:b/>
          <w:szCs w:val="24"/>
        </w:rPr>
        <w:t xml:space="preserve"> </w:t>
      </w:r>
      <w:r w:rsidR="00637A2D">
        <w:rPr>
          <w:rFonts w:ascii="Arial" w:hAnsi="Arial" w:cs="Arial"/>
          <w:b/>
          <w:szCs w:val="24"/>
        </w:rPr>
        <w:t>Дураковић</w:t>
      </w:r>
    </w:p>
    <w:p w14:paraId="3214A5D3" w14:textId="77777777" w:rsidR="000353D3" w:rsidRPr="00B000D7" w:rsidRDefault="000353D3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673BFF1D" w14:textId="77777777" w:rsidR="00271618" w:rsidRPr="00B000D7" w:rsidRDefault="00271618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3B6F3F3" w14:textId="77777777" w:rsidR="0047062B" w:rsidRPr="00B000D7" w:rsidRDefault="0047062B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CB960C9" w14:textId="6CFBE273" w:rsidR="00271618" w:rsidRDefault="00637A2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Мостар</w:t>
      </w:r>
      <w:r w:rsidR="0012210D" w:rsidRPr="00B000D7">
        <w:rPr>
          <w:rFonts w:ascii="Arial" w:hAnsi="Arial" w:cs="Arial"/>
          <w:szCs w:val="24"/>
          <w:lang w:val="bs-Latn-BA"/>
        </w:rPr>
        <w:t xml:space="preserve">, </w:t>
      </w:r>
      <w:r w:rsidR="00325859">
        <w:rPr>
          <w:rFonts w:ascii="Arial" w:hAnsi="Arial" w:cs="Arial"/>
          <w:szCs w:val="24"/>
          <w:lang w:val="bs-Latn-BA"/>
        </w:rPr>
        <w:t>30</w:t>
      </w:r>
      <w:r w:rsidR="0012210D" w:rsidRPr="00B000D7">
        <w:rPr>
          <w:rFonts w:ascii="Arial" w:hAnsi="Arial" w:cs="Arial"/>
          <w:szCs w:val="24"/>
          <w:lang w:val="bs-Latn-BA"/>
        </w:rPr>
        <w:t>.</w:t>
      </w:r>
      <w:r w:rsidR="00325859">
        <w:rPr>
          <w:rFonts w:ascii="Arial" w:hAnsi="Arial" w:cs="Arial"/>
          <w:szCs w:val="24"/>
          <w:lang w:val="bs-Latn-BA"/>
        </w:rPr>
        <w:t>01</w:t>
      </w:r>
      <w:r w:rsidR="0012210D" w:rsidRPr="00B000D7">
        <w:rPr>
          <w:rFonts w:ascii="Arial" w:hAnsi="Arial" w:cs="Arial"/>
          <w:szCs w:val="24"/>
          <w:lang w:val="bs-Latn-BA"/>
        </w:rPr>
        <w:t>.202</w:t>
      </w:r>
      <w:r w:rsidR="00325859">
        <w:rPr>
          <w:rFonts w:ascii="Arial" w:hAnsi="Arial" w:cs="Arial"/>
          <w:szCs w:val="24"/>
          <w:lang w:val="bs-Latn-BA"/>
        </w:rPr>
        <w:t>5</w:t>
      </w:r>
      <w:r w:rsidR="0012210D" w:rsidRPr="00B000D7">
        <w:rPr>
          <w:rFonts w:ascii="Arial" w:hAnsi="Arial" w:cs="Arial"/>
          <w:szCs w:val="24"/>
          <w:lang w:val="bs-Latn-BA"/>
        </w:rPr>
        <w:t xml:space="preserve">. </w:t>
      </w:r>
      <w:r>
        <w:rPr>
          <w:rFonts w:ascii="Arial" w:hAnsi="Arial" w:cs="Arial"/>
          <w:szCs w:val="24"/>
          <w:lang w:val="bs-Latn-BA"/>
        </w:rPr>
        <w:t>године</w:t>
      </w:r>
    </w:p>
    <w:p w14:paraId="162B347D" w14:textId="04519BD6" w:rsidR="00325859" w:rsidRPr="00B000D7" w:rsidRDefault="0032585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Брoј: 03-34-286-1/25</w:t>
      </w:r>
    </w:p>
    <w:p w14:paraId="0EC2B8A5" w14:textId="77777777" w:rsidR="0012210D" w:rsidRPr="000D188C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052E8D4" w14:textId="57BAB89F" w:rsidR="0078219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357119D7" w14:textId="23C6D188" w:rsidR="0078219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D61075B" w14:textId="2E63E356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49151356" w14:textId="4893B3D1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65663024" w14:textId="1C51BF67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728A298" w14:textId="3CF26255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39B32ACD" w14:textId="297DBEBC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580AF7FB" w14:textId="37D82F2D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7B96A6C3" w14:textId="5D8889BD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5A18FE16" w14:textId="0BD87773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A6B2802" w14:textId="4BEA952A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1694E31" w14:textId="3FE970C9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7998B7B1" w14:textId="72CC0373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7AD4040" w14:textId="6C869942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2B27A28" w14:textId="140509B4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0520893" w14:textId="061FB324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928275A" w14:textId="647A4ECE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432E2DFF" w14:textId="5DA75E76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78DFB200" w14:textId="38BCA1BC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37958D54" w14:textId="7F5B95CB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778E9B7B" w14:textId="34EFBEF0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6C7CBD66" w14:textId="087AE573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6DC115C3" w14:textId="236CC165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E43F45E" w14:textId="3002883A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0B462BD" w14:textId="733C9C89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774E3697" w14:textId="0E9144C1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76076A5D" w14:textId="77777777" w:rsidR="00C717E9" w:rsidRDefault="00C717E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29FE56E" w14:textId="77777777" w:rsidR="0078219C" w:rsidRPr="000D188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4C960A0" w14:textId="77777777" w:rsidR="0012210D" w:rsidRPr="000D188C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5C8CA0B5" w14:textId="77777777" w:rsidR="003D24C2" w:rsidRPr="003D7CD6" w:rsidRDefault="003D24C2" w:rsidP="003D7CD6">
      <w:pPr>
        <w:tabs>
          <w:tab w:val="left" w:pos="2130"/>
        </w:tabs>
        <w:jc w:val="center"/>
        <w:rPr>
          <w:sz w:val="18"/>
          <w:szCs w:val="18"/>
        </w:rPr>
      </w:pPr>
    </w:p>
    <w:p w14:paraId="19FE1DA4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44C3E6E8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Moctap,  Анте Старчевићa бб, teл.: +387 36 355 700 (kaбинeт mинистрa), +387 36 355 753 (прoтokол),  фakc: +387 36 355 742</w:t>
      </w:r>
      <w:r w:rsidR="003D7CD6" w:rsidRPr="003D7CD6">
        <w:rPr>
          <w:sz w:val="16"/>
          <w:szCs w:val="16"/>
        </w:rPr>
        <w:t xml:space="preserve"> </w:t>
      </w:r>
      <w:r w:rsidRPr="003D7CD6">
        <w:rPr>
          <w:sz w:val="16"/>
          <w:szCs w:val="16"/>
        </w:rPr>
        <w:t xml:space="preserve">e-mail:  </w:t>
      </w:r>
      <w:hyperlink r:id="rId9" w:history="1">
        <w:r w:rsidRPr="003D7CD6">
          <w:rPr>
            <w:rStyle w:val="Hyperlink"/>
            <w:sz w:val="16"/>
            <w:szCs w:val="16"/>
          </w:rPr>
          <w:t>info@fmon.gov.ba</w:t>
        </w:r>
      </w:hyperlink>
      <w:r w:rsidRPr="003D7CD6">
        <w:rPr>
          <w:sz w:val="16"/>
          <w:szCs w:val="16"/>
        </w:rPr>
        <w:t xml:space="preserve">;  </w:t>
      </w:r>
      <w:hyperlink r:id="rId10" w:history="1">
        <w:r w:rsidRPr="003D7CD6">
          <w:rPr>
            <w:rStyle w:val="Hyperlink"/>
            <w:sz w:val="16"/>
            <w:szCs w:val="16"/>
          </w:rPr>
          <w:t>kabinet@fmon.gov.ba</w:t>
        </w:r>
      </w:hyperlink>
      <w:r w:rsidRPr="003D7CD6">
        <w:rPr>
          <w:sz w:val="16"/>
          <w:szCs w:val="16"/>
        </w:rPr>
        <w:t>,   http://www.fmon.gov.ba</w:t>
      </w:r>
    </w:p>
    <w:p w14:paraId="3A00C9B8" w14:textId="77777777" w:rsidR="00B743CD" w:rsidRDefault="00B743CD"/>
    <w:sectPr w:rsidR="00B7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FD4E" w14:textId="77777777" w:rsidR="00060198" w:rsidRDefault="00060198" w:rsidP="001A7344">
      <w:r>
        <w:separator/>
      </w:r>
    </w:p>
  </w:endnote>
  <w:endnote w:type="continuationSeparator" w:id="0">
    <w:p w14:paraId="7C5BAF12" w14:textId="77777777" w:rsidR="00060198" w:rsidRDefault="00060198" w:rsidP="001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F62E" w14:textId="77777777" w:rsidR="00060198" w:rsidRDefault="00060198" w:rsidP="001A7344">
      <w:r>
        <w:separator/>
      </w:r>
    </w:p>
  </w:footnote>
  <w:footnote w:type="continuationSeparator" w:id="0">
    <w:p w14:paraId="14DD6AAD" w14:textId="77777777" w:rsidR="00060198" w:rsidRDefault="00060198" w:rsidP="001A7344">
      <w:r>
        <w:continuationSeparator/>
      </w:r>
    </w:p>
  </w:footnote>
  <w:footnote w:id="1">
    <w:p w14:paraId="4400702B" w14:textId="77777777" w:rsidR="001A7344" w:rsidRPr="00AD023E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FDC0DAB" w14:textId="77777777" w:rsidR="001A7344" w:rsidRPr="001A7F27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C0"/>
    <w:multiLevelType w:val="hybridMultilevel"/>
    <w:tmpl w:val="040A3520"/>
    <w:lvl w:ilvl="0" w:tplc="141A0011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774DB"/>
    <w:multiLevelType w:val="hybridMultilevel"/>
    <w:tmpl w:val="8716CCCA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329035E"/>
    <w:multiLevelType w:val="hybridMultilevel"/>
    <w:tmpl w:val="8B5E2792"/>
    <w:lvl w:ilvl="0" w:tplc="6D98F05A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458016C"/>
    <w:multiLevelType w:val="hybridMultilevel"/>
    <w:tmpl w:val="7842F45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569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84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0B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0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2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44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560F"/>
    <w:multiLevelType w:val="multilevel"/>
    <w:tmpl w:val="8168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C59"/>
    <w:multiLevelType w:val="multilevel"/>
    <w:tmpl w:val="590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624EC"/>
    <w:multiLevelType w:val="hybridMultilevel"/>
    <w:tmpl w:val="92D6AB1E"/>
    <w:lvl w:ilvl="0" w:tplc="B1DCCA4E">
      <w:start w:val="1"/>
      <w:numFmt w:val="decimal"/>
      <w:lvlText w:val="%1)"/>
      <w:lvlJc w:val="left"/>
      <w:pPr>
        <w:ind w:left="590" w:hanging="372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DD341D0"/>
    <w:multiLevelType w:val="hybridMultilevel"/>
    <w:tmpl w:val="5EB4AAE6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48A61CB"/>
    <w:multiLevelType w:val="hybridMultilevel"/>
    <w:tmpl w:val="67E8AC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2282"/>
    <w:multiLevelType w:val="hybridMultilevel"/>
    <w:tmpl w:val="B364B652"/>
    <w:lvl w:ilvl="0" w:tplc="2378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2374"/>
    <w:multiLevelType w:val="hybridMultilevel"/>
    <w:tmpl w:val="C4768528"/>
    <w:lvl w:ilvl="0" w:tplc="141A0005">
      <w:start w:val="1"/>
      <w:numFmt w:val="bullet"/>
      <w:lvlText w:val=""/>
      <w:lvlJc w:val="left"/>
      <w:pPr>
        <w:ind w:left="2160" w:hanging="372"/>
      </w:pPr>
      <w:rPr>
        <w:rFonts w:ascii="Wingdings" w:hAnsi="Wingdings" w:hint="default"/>
      </w:rPr>
    </w:lvl>
    <w:lvl w:ilvl="1" w:tplc="141A0019" w:tentative="1">
      <w:start w:val="1"/>
      <w:numFmt w:val="lowerLetter"/>
      <w:lvlText w:val="%2."/>
      <w:lvlJc w:val="left"/>
      <w:pPr>
        <w:ind w:left="2868" w:hanging="360"/>
      </w:pPr>
    </w:lvl>
    <w:lvl w:ilvl="2" w:tplc="141A001B" w:tentative="1">
      <w:start w:val="1"/>
      <w:numFmt w:val="lowerRoman"/>
      <w:lvlText w:val="%3."/>
      <w:lvlJc w:val="right"/>
      <w:pPr>
        <w:ind w:left="3588" w:hanging="180"/>
      </w:pPr>
    </w:lvl>
    <w:lvl w:ilvl="3" w:tplc="141A000F" w:tentative="1">
      <w:start w:val="1"/>
      <w:numFmt w:val="decimal"/>
      <w:lvlText w:val="%4."/>
      <w:lvlJc w:val="left"/>
      <w:pPr>
        <w:ind w:left="4308" w:hanging="360"/>
      </w:pPr>
    </w:lvl>
    <w:lvl w:ilvl="4" w:tplc="141A0019" w:tentative="1">
      <w:start w:val="1"/>
      <w:numFmt w:val="lowerLetter"/>
      <w:lvlText w:val="%5."/>
      <w:lvlJc w:val="left"/>
      <w:pPr>
        <w:ind w:left="5028" w:hanging="360"/>
      </w:pPr>
    </w:lvl>
    <w:lvl w:ilvl="5" w:tplc="141A001B" w:tentative="1">
      <w:start w:val="1"/>
      <w:numFmt w:val="lowerRoman"/>
      <w:lvlText w:val="%6."/>
      <w:lvlJc w:val="right"/>
      <w:pPr>
        <w:ind w:left="5748" w:hanging="180"/>
      </w:pPr>
    </w:lvl>
    <w:lvl w:ilvl="6" w:tplc="141A000F" w:tentative="1">
      <w:start w:val="1"/>
      <w:numFmt w:val="decimal"/>
      <w:lvlText w:val="%7."/>
      <w:lvlJc w:val="left"/>
      <w:pPr>
        <w:ind w:left="6468" w:hanging="360"/>
      </w:pPr>
    </w:lvl>
    <w:lvl w:ilvl="7" w:tplc="141A0019" w:tentative="1">
      <w:start w:val="1"/>
      <w:numFmt w:val="lowerLetter"/>
      <w:lvlText w:val="%8."/>
      <w:lvlJc w:val="left"/>
      <w:pPr>
        <w:ind w:left="7188" w:hanging="360"/>
      </w:pPr>
    </w:lvl>
    <w:lvl w:ilvl="8" w:tplc="1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1A21C9B"/>
    <w:multiLevelType w:val="hybridMultilevel"/>
    <w:tmpl w:val="87FC37E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3B58FA"/>
    <w:multiLevelType w:val="hybridMultilevel"/>
    <w:tmpl w:val="9294D3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D4780"/>
    <w:multiLevelType w:val="hybridMultilevel"/>
    <w:tmpl w:val="A22E33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43AF6"/>
    <w:multiLevelType w:val="hybridMultilevel"/>
    <w:tmpl w:val="BFEA2C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60"/>
    <w:multiLevelType w:val="hybridMultilevel"/>
    <w:tmpl w:val="F2FA0C5E"/>
    <w:lvl w:ilvl="0" w:tplc="ACDC00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143"/>
    <w:multiLevelType w:val="hybridMultilevel"/>
    <w:tmpl w:val="97B6AE9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55BAB"/>
    <w:multiLevelType w:val="hybridMultilevel"/>
    <w:tmpl w:val="E9AE7574"/>
    <w:lvl w:ilvl="0" w:tplc="2CB8F61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B3E43A8"/>
    <w:multiLevelType w:val="hybridMultilevel"/>
    <w:tmpl w:val="8AEAA726"/>
    <w:lvl w:ilvl="0" w:tplc="141A000F">
      <w:start w:val="1"/>
      <w:numFmt w:val="decimal"/>
      <w:lvlText w:val="%1."/>
      <w:lvlJc w:val="left"/>
      <w:pPr>
        <w:ind w:left="295" w:hanging="360"/>
      </w:pPr>
    </w:lvl>
    <w:lvl w:ilvl="1" w:tplc="141A0019" w:tentative="1">
      <w:start w:val="1"/>
      <w:numFmt w:val="lowerLetter"/>
      <w:lvlText w:val="%2."/>
      <w:lvlJc w:val="left"/>
      <w:pPr>
        <w:ind w:left="1015" w:hanging="360"/>
      </w:pPr>
    </w:lvl>
    <w:lvl w:ilvl="2" w:tplc="141A001B" w:tentative="1">
      <w:start w:val="1"/>
      <w:numFmt w:val="lowerRoman"/>
      <w:lvlText w:val="%3."/>
      <w:lvlJc w:val="right"/>
      <w:pPr>
        <w:ind w:left="1735" w:hanging="180"/>
      </w:pPr>
    </w:lvl>
    <w:lvl w:ilvl="3" w:tplc="141A000F" w:tentative="1">
      <w:start w:val="1"/>
      <w:numFmt w:val="decimal"/>
      <w:lvlText w:val="%4."/>
      <w:lvlJc w:val="left"/>
      <w:pPr>
        <w:ind w:left="2455" w:hanging="360"/>
      </w:pPr>
    </w:lvl>
    <w:lvl w:ilvl="4" w:tplc="141A0019" w:tentative="1">
      <w:start w:val="1"/>
      <w:numFmt w:val="lowerLetter"/>
      <w:lvlText w:val="%5."/>
      <w:lvlJc w:val="left"/>
      <w:pPr>
        <w:ind w:left="3175" w:hanging="360"/>
      </w:pPr>
    </w:lvl>
    <w:lvl w:ilvl="5" w:tplc="141A001B" w:tentative="1">
      <w:start w:val="1"/>
      <w:numFmt w:val="lowerRoman"/>
      <w:lvlText w:val="%6."/>
      <w:lvlJc w:val="right"/>
      <w:pPr>
        <w:ind w:left="3895" w:hanging="180"/>
      </w:pPr>
    </w:lvl>
    <w:lvl w:ilvl="6" w:tplc="141A000F" w:tentative="1">
      <w:start w:val="1"/>
      <w:numFmt w:val="decimal"/>
      <w:lvlText w:val="%7."/>
      <w:lvlJc w:val="left"/>
      <w:pPr>
        <w:ind w:left="4615" w:hanging="360"/>
      </w:pPr>
    </w:lvl>
    <w:lvl w:ilvl="7" w:tplc="141A0019" w:tentative="1">
      <w:start w:val="1"/>
      <w:numFmt w:val="lowerLetter"/>
      <w:lvlText w:val="%8."/>
      <w:lvlJc w:val="left"/>
      <w:pPr>
        <w:ind w:left="5335" w:hanging="360"/>
      </w:pPr>
    </w:lvl>
    <w:lvl w:ilvl="8" w:tplc="1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7C05280E"/>
    <w:multiLevelType w:val="hybridMultilevel"/>
    <w:tmpl w:val="78A02444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CF46F4C"/>
    <w:multiLevelType w:val="hybridMultilevel"/>
    <w:tmpl w:val="4D842C84"/>
    <w:lvl w:ilvl="0" w:tplc="141A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7D4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20"/>
  </w:num>
  <w:num w:numId="7">
    <w:abstractNumId w:val="23"/>
  </w:num>
  <w:num w:numId="8">
    <w:abstractNumId w:val="21"/>
  </w:num>
  <w:num w:numId="9">
    <w:abstractNumId w:val="6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8"/>
  </w:num>
  <w:num w:numId="15">
    <w:abstractNumId w:val="1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4"/>
  </w:num>
  <w:num w:numId="20">
    <w:abstractNumId w:val="24"/>
  </w:num>
  <w:num w:numId="21">
    <w:abstractNumId w:val="10"/>
  </w:num>
  <w:num w:numId="22">
    <w:abstractNumId w:val="12"/>
  </w:num>
  <w:num w:numId="23">
    <w:abstractNumId w:val="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21"/>
    <w:rsid w:val="000056D2"/>
    <w:rsid w:val="00017298"/>
    <w:rsid w:val="00017CFA"/>
    <w:rsid w:val="000353D3"/>
    <w:rsid w:val="00043933"/>
    <w:rsid w:val="000538AD"/>
    <w:rsid w:val="00060198"/>
    <w:rsid w:val="000667D1"/>
    <w:rsid w:val="00071A66"/>
    <w:rsid w:val="00080FF7"/>
    <w:rsid w:val="000952B0"/>
    <w:rsid w:val="000A58B2"/>
    <w:rsid w:val="000B1C2A"/>
    <w:rsid w:val="000B3772"/>
    <w:rsid w:val="000B6589"/>
    <w:rsid w:val="000D188C"/>
    <w:rsid w:val="000E4302"/>
    <w:rsid w:val="000E4672"/>
    <w:rsid w:val="000E7C27"/>
    <w:rsid w:val="000F199E"/>
    <w:rsid w:val="000F3D43"/>
    <w:rsid w:val="000F46BD"/>
    <w:rsid w:val="001006DB"/>
    <w:rsid w:val="00112958"/>
    <w:rsid w:val="0012210D"/>
    <w:rsid w:val="001235E0"/>
    <w:rsid w:val="001363A5"/>
    <w:rsid w:val="00152BCF"/>
    <w:rsid w:val="00171DF8"/>
    <w:rsid w:val="00186F2F"/>
    <w:rsid w:val="00193178"/>
    <w:rsid w:val="001A7344"/>
    <w:rsid w:val="001B0BB5"/>
    <w:rsid w:val="001B2216"/>
    <w:rsid w:val="001C5F8C"/>
    <w:rsid w:val="001D4E5F"/>
    <w:rsid w:val="001E25D3"/>
    <w:rsid w:val="00215FBF"/>
    <w:rsid w:val="00224C48"/>
    <w:rsid w:val="0025773E"/>
    <w:rsid w:val="00271618"/>
    <w:rsid w:val="002865B9"/>
    <w:rsid w:val="0028762E"/>
    <w:rsid w:val="002A7C5C"/>
    <w:rsid w:val="002D7510"/>
    <w:rsid w:val="002F6CAA"/>
    <w:rsid w:val="003008E3"/>
    <w:rsid w:val="00301DCD"/>
    <w:rsid w:val="0030544B"/>
    <w:rsid w:val="00314698"/>
    <w:rsid w:val="00325859"/>
    <w:rsid w:val="00327A83"/>
    <w:rsid w:val="00332598"/>
    <w:rsid w:val="00352F14"/>
    <w:rsid w:val="003762B5"/>
    <w:rsid w:val="00381887"/>
    <w:rsid w:val="003B0B55"/>
    <w:rsid w:val="003B1EE4"/>
    <w:rsid w:val="003B42A8"/>
    <w:rsid w:val="003C5035"/>
    <w:rsid w:val="003D24C2"/>
    <w:rsid w:val="003D25CC"/>
    <w:rsid w:val="003D7CD6"/>
    <w:rsid w:val="003F0343"/>
    <w:rsid w:val="003F5F27"/>
    <w:rsid w:val="0040574F"/>
    <w:rsid w:val="00407E83"/>
    <w:rsid w:val="00411A88"/>
    <w:rsid w:val="004130D1"/>
    <w:rsid w:val="00425303"/>
    <w:rsid w:val="004634C1"/>
    <w:rsid w:val="0047062B"/>
    <w:rsid w:val="00470CD1"/>
    <w:rsid w:val="004711F7"/>
    <w:rsid w:val="00482AA8"/>
    <w:rsid w:val="00482B57"/>
    <w:rsid w:val="00492C28"/>
    <w:rsid w:val="00495338"/>
    <w:rsid w:val="00496BC5"/>
    <w:rsid w:val="004A4A37"/>
    <w:rsid w:val="004B6D02"/>
    <w:rsid w:val="004B7E66"/>
    <w:rsid w:val="004C00CE"/>
    <w:rsid w:val="004D4765"/>
    <w:rsid w:val="0050287B"/>
    <w:rsid w:val="005060D6"/>
    <w:rsid w:val="005118A3"/>
    <w:rsid w:val="0051492E"/>
    <w:rsid w:val="00523BAD"/>
    <w:rsid w:val="00523EF7"/>
    <w:rsid w:val="005325DB"/>
    <w:rsid w:val="005630C4"/>
    <w:rsid w:val="00563D7E"/>
    <w:rsid w:val="0056453F"/>
    <w:rsid w:val="00583240"/>
    <w:rsid w:val="005B40A6"/>
    <w:rsid w:val="005B6CAC"/>
    <w:rsid w:val="005D119E"/>
    <w:rsid w:val="005D53AE"/>
    <w:rsid w:val="005E0CC0"/>
    <w:rsid w:val="005E4F44"/>
    <w:rsid w:val="005F0837"/>
    <w:rsid w:val="005F1462"/>
    <w:rsid w:val="005F5D52"/>
    <w:rsid w:val="00601A34"/>
    <w:rsid w:val="006051B0"/>
    <w:rsid w:val="00621482"/>
    <w:rsid w:val="00630514"/>
    <w:rsid w:val="00630FAA"/>
    <w:rsid w:val="00637A2D"/>
    <w:rsid w:val="00644DB2"/>
    <w:rsid w:val="00654E23"/>
    <w:rsid w:val="006562EB"/>
    <w:rsid w:val="00663013"/>
    <w:rsid w:val="00663DD2"/>
    <w:rsid w:val="00666795"/>
    <w:rsid w:val="00674D72"/>
    <w:rsid w:val="006853CA"/>
    <w:rsid w:val="00695DE0"/>
    <w:rsid w:val="006B0CEA"/>
    <w:rsid w:val="006B5F26"/>
    <w:rsid w:val="006B76E1"/>
    <w:rsid w:val="006C0833"/>
    <w:rsid w:val="006C3C01"/>
    <w:rsid w:val="006C4C5D"/>
    <w:rsid w:val="006D59B2"/>
    <w:rsid w:val="006D5BAB"/>
    <w:rsid w:val="006D6C31"/>
    <w:rsid w:val="006F00C2"/>
    <w:rsid w:val="007032D6"/>
    <w:rsid w:val="00730FB5"/>
    <w:rsid w:val="007368D3"/>
    <w:rsid w:val="00742FB6"/>
    <w:rsid w:val="00750C38"/>
    <w:rsid w:val="0075237C"/>
    <w:rsid w:val="00755965"/>
    <w:rsid w:val="00767BC2"/>
    <w:rsid w:val="0078219C"/>
    <w:rsid w:val="00796CF5"/>
    <w:rsid w:val="007A4859"/>
    <w:rsid w:val="007B2CD7"/>
    <w:rsid w:val="007B70D3"/>
    <w:rsid w:val="007C40AB"/>
    <w:rsid w:val="007D0C54"/>
    <w:rsid w:val="007D4839"/>
    <w:rsid w:val="007F0962"/>
    <w:rsid w:val="007F3407"/>
    <w:rsid w:val="00803A44"/>
    <w:rsid w:val="0081016A"/>
    <w:rsid w:val="00811C09"/>
    <w:rsid w:val="008273CC"/>
    <w:rsid w:val="00871412"/>
    <w:rsid w:val="00875C2F"/>
    <w:rsid w:val="0088308C"/>
    <w:rsid w:val="00884043"/>
    <w:rsid w:val="00890294"/>
    <w:rsid w:val="008B0448"/>
    <w:rsid w:val="008B1E6F"/>
    <w:rsid w:val="008C5F08"/>
    <w:rsid w:val="008E6849"/>
    <w:rsid w:val="008F0939"/>
    <w:rsid w:val="008F49D3"/>
    <w:rsid w:val="009135C6"/>
    <w:rsid w:val="00924718"/>
    <w:rsid w:val="00924FE2"/>
    <w:rsid w:val="00931DDE"/>
    <w:rsid w:val="00945908"/>
    <w:rsid w:val="009614B2"/>
    <w:rsid w:val="009678AC"/>
    <w:rsid w:val="009719B0"/>
    <w:rsid w:val="00984B15"/>
    <w:rsid w:val="00995725"/>
    <w:rsid w:val="009A2256"/>
    <w:rsid w:val="009A33B0"/>
    <w:rsid w:val="009A4554"/>
    <w:rsid w:val="009B27A7"/>
    <w:rsid w:val="009C4219"/>
    <w:rsid w:val="009E655A"/>
    <w:rsid w:val="009F11ED"/>
    <w:rsid w:val="00A41482"/>
    <w:rsid w:val="00A424FC"/>
    <w:rsid w:val="00A42EB8"/>
    <w:rsid w:val="00A47FEC"/>
    <w:rsid w:val="00A50573"/>
    <w:rsid w:val="00A51784"/>
    <w:rsid w:val="00A56216"/>
    <w:rsid w:val="00A718D7"/>
    <w:rsid w:val="00A733F0"/>
    <w:rsid w:val="00AA4FA0"/>
    <w:rsid w:val="00AA756A"/>
    <w:rsid w:val="00AE16E7"/>
    <w:rsid w:val="00AE17EB"/>
    <w:rsid w:val="00AE3E5F"/>
    <w:rsid w:val="00B000D7"/>
    <w:rsid w:val="00B2783E"/>
    <w:rsid w:val="00B31C3C"/>
    <w:rsid w:val="00B3772D"/>
    <w:rsid w:val="00B378A6"/>
    <w:rsid w:val="00B53971"/>
    <w:rsid w:val="00B53B04"/>
    <w:rsid w:val="00B6449F"/>
    <w:rsid w:val="00B70D5E"/>
    <w:rsid w:val="00B73B1F"/>
    <w:rsid w:val="00B743CD"/>
    <w:rsid w:val="00B91E17"/>
    <w:rsid w:val="00BA247F"/>
    <w:rsid w:val="00BA368F"/>
    <w:rsid w:val="00BE5D8F"/>
    <w:rsid w:val="00C02BCF"/>
    <w:rsid w:val="00C070A2"/>
    <w:rsid w:val="00C07FA4"/>
    <w:rsid w:val="00C22DCC"/>
    <w:rsid w:val="00C25078"/>
    <w:rsid w:val="00C4626E"/>
    <w:rsid w:val="00C54869"/>
    <w:rsid w:val="00C7098E"/>
    <w:rsid w:val="00C717E9"/>
    <w:rsid w:val="00C733B7"/>
    <w:rsid w:val="00C7481C"/>
    <w:rsid w:val="00C83CF5"/>
    <w:rsid w:val="00C93AC0"/>
    <w:rsid w:val="00C94D4B"/>
    <w:rsid w:val="00C967A6"/>
    <w:rsid w:val="00CA65CF"/>
    <w:rsid w:val="00CB4F97"/>
    <w:rsid w:val="00CB5378"/>
    <w:rsid w:val="00CC5597"/>
    <w:rsid w:val="00CC7B26"/>
    <w:rsid w:val="00CC7DD9"/>
    <w:rsid w:val="00CD34A2"/>
    <w:rsid w:val="00CD6421"/>
    <w:rsid w:val="00CD788B"/>
    <w:rsid w:val="00CE7A43"/>
    <w:rsid w:val="00D10A59"/>
    <w:rsid w:val="00D11966"/>
    <w:rsid w:val="00D31218"/>
    <w:rsid w:val="00D51936"/>
    <w:rsid w:val="00D57553"/>
    <w:rsid w:val="00D64674"/>
    <w:rsid w:val="00D9550B"/>
    <w:rsid w:val="00DC17CC"/>
    <w:rsid w:val="00DC28A8"/>
    <w:rsid w:val="00E04E8E"/>
    <w:rsid w:val="00E17A7A"/>
    <w:rsid w:val="00E20F25"/>
    <w:rsid w:val="00E2385C"/>
    <w:rsid w:val="00E3077A"/>
    <w:rsid w:val="00E61617"/>
    <w:rsid w:val="00E868A0"/>
    <w:rsid w:val="00E934F7"/>
    <w:rsid w:val="00E96703"/>
    <w:rsid w:val="00EA6672"/>
    <w:rsid w:val="00EA7074"/>
    <w:rsid w:val="00EB0F19"/>
    <w:rsid w:val="00EF4080"/>
    <w:rsid w:val="00F053FB"/>
    <w:rsid w:val="00F07484"/>
    <w:rsid w:val="00F21EC3"/>
    <w:rsid w:val="00F46027"/>
    <w:rsid w:val="00F46663"/>
    <w:rsid w:val="00F5520B"/>
    <w:rsid w:val="00F63181"/>
    <w:rsid w:val="00F668A1"/>
    <w:rsid w:val="00F705A0"/>
    <w:rsid w:val="00F735DF"/>
    <w:rsid w:val="00F74103"/>
    <w:rsid w:val="00F743C9"/>
    <w:rsid w:val="00F8449F"/>
    <w:rsid w:val="00FA5871"/>
    <w:rsid w:val="00FA6AC6"/>
    <w:rsid w:val="00FD6BAA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906F"/>
  <w15:docId w15:val="{413DB4BA-AF10-47C5-8CDE-51455EC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D64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4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421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CD6421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unhideWhenUsed/>
    <w:rsid w:val="00CD64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semiHidden/>
    <w:rsid w:val="00CD6421"/>
    <w:rPr>
      <w:rFonts w:ascii="Arial" w:eastAsia="Times New Roman" w:hAnsi="Arial" w:cs="Times New Roman"/>
      <w:sz w:val="24"/>
      <w:szCs w:val="24"/>
      <w:lang w:eastAsia="bs-Latn-BA"/>
    </w:rPr>
  </w:style>
  <w:style w:type="paragraph" w:styleId="BodyText">
    <w:name w:val="Body Text"/>
    <w:basedOn w:val="Normal"/>
    <w:link w:val="BodyTextChar"/>
    <w:unhideWhenUsed/>
    <w:rsid w:val="00CD6421"/>
    <w:pPr>
      <w:overflowPunct/>
      <w:autoSpaceDE/>
      <w:autoSpaceDN/>
      <w:adjustRightInd/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Default">
    <w:name w:val="Default"/>
    <w:rsid w:val="00CD6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6421"/>
    <w:pPr>
      <w:overflowPunct/>
      <w:autoSpaceDE/>
      <w:autoSpaceDN/>
      <w:adjustRightInd/>
      <w:ind w:left="720"/>
      <w:contextualSpacing/>
    </w:pPr>
    <w:rPr>
      <w:szCs w:val="24"/>
      <w:lang w:val="en-AU"/>
    </w:rPr>
  </w:style>
  <w:style w:type="character" w:customStyle="1" w:styleId="apple-style-span">
    <w:name w:val="apple-style-span"/>
    <w:rsid w:val="00CD6421"/>
  </w:style>
  <w:style w:type="paragraph" w:customStyle="1" w:styleId="Memoheading">
    <w:name w:val="Memo heading"/>
    <w:rsid w:val="00B743C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7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344"/>
    <w:pPr>
      <w:overflowPunct/>
      <w:autoSpaceDE/>
      <w:autoSpaceDN/>
      <w:adjustRightInd/>
      <w:spacing w:after="160"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44"/>
    <w:pPr>
      <w:overflowPunct/>
      <w:autoSpaceDE/>
      <w:autoSpaceDN/>
      <w:adjustRightInd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A73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24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mon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mon.gov.b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761D-B866-4E5F-9538-9F17C09B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23</cp:revision>
  <cp:lastPrinted>2024-02-14T09:37:00Z</cp:lastPrinted>
  <dcterms:created xsi:type="dcterms:W3CDTF">2025-01-28T08:22:00Z</dcterms:created>
  <dcterms:modified xsi:type="dcterms:W3CDTF">2025-01-31T08:54:00Z</dcterms:modified>
</cp:coreProperties>
</file>